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int="default" w:ascii="Times New Roman" w:hAnsi="Times New Roman" w:cs="Times New Roman" w:eastAsiaTheme="minorEastAsia"/>
          <w:color w:val="000000" w:themeColor="text1"/>
          <w:sz w:val="96"/>
          <w:szCs w:val="96"/>
          <w14:textFill>
            <w14:solidFill>
              <w14:schemeClr w14:val="tx1"/>
            </w14:solidFill>
          </w14:textFill>
        </w:rPr>
      </w:pPr>
      <w:bookmarkStart w:id="2" w:name="_GoBack"/>
      <w:bookmarkEnd w:id="2"/>
    </w:p>
    <w:p>
      <w:pPr>
        <w:widowControl/>
        <w:spacing w:line="1200" w:lineRule="exact"/>
        <w:jc w:val="center"/>
        <w:rPr>
          <w:rFonts w:hint="default" w:ascii="Times New Roman" w:hAnsi="Times New Roman" w:cs="Times New Roman" w:eastAsiaTheme="minorEastAsia"/>
          <w:color w:val="000000" w:themeColor="text1"/>
          <w:sz w:val="96"/>
          <w:szCs w:val="96"/>
          <w14:textFill>
            <w14:solidFill>
              <w14:schemeClr w14:val="tx1"/>
            </w14:solidFill>
          </w14:textFill>
        </w:rPr>
      </w:pPr>
    </w:p>
    <w:p>
      <w:pPr>
        <w:widowControl/>
        <w:spacing w:line="1200" w:lineRule="exact"/>
        <w:jc w:val="center"/>
        <w:rPr>
          <w:rFonts w:hint="default" w:ascii="Times New Roman" w:hAnsi="Times New Roman" w:cs="Times New Roman"/>
          <w:color w:val="000000" w:themeColor="text1"/>
          <w:sz w:val="96"/>
          <w:szCs w:val="96"/>
          <w14:textFill>
            <w14:solidFill>
              <w14:schemeClr w14:val="tx1"/>
            </w14:solidFill>
          </w14:textFill>
        </w:rPr>
      </w:pPr>
      <w:r>
        <w:rPr>
          <w:rFonts w:hint="default" w:ascii="Times New Roman" w:hAnsi="Times New Roman" w:cs="Times New Roman"/>
          <w:sz w:val="84"/>
          <w:szCs w:val="84"/>
        </w:rPr>
        <w:t>2018年度部门决算公开</w:t>
      </w:r>
    </w:p>
    <w:p>
      <w:pPr>
        <w:widowControl/>
        <w:jc w:val="center"/>
        <w:rPr>
          <w:rFonts w:hint="default" w:ascii="Times New Roman" w:hAnsi="Times New Roman" w:cs="Times New Roman" w:eastAsiaTheme="minorEastAsia"/>
          <w:color w:val="002060"/>
          <w:sz w:val="72"/>
          <w:szCs w:val="72"/>
        </w:rPr>
      </w:pPr>
    </w:p>
    <w:p>
      <w:pPr>
        <w:widowControl/>
        <w:jc w:val="center"/>
        <w:rPr>
          <w:rFonts w:hint="default" w:ascii="Times New Roman" w:hAnsi="Times New Roman" w:cs="Times New Roman" w:eastAsiaTheme="minorEastAsia"/>
          <w:b/>
          <w:sz w:val="72"/>
          <w:szCs w:val="72"/>
        </w:rPr>
      </w:pPr>
    </w:p>
    <w:p>
      <w:pPr>
        <w:widowControl/>
        <w:jc w:val="center"/>
        <w:rPr>
          <w:rFonts w:hint="default" w:ascii="Times New Roman" w:hAnsi="Times New Roman" w:cs="Times New Roman" w:eastAsiaTheme="minorEastAsia"/>
          <w:b/>
          <w:sz w:val="72"/>
          <w:szCs w:val="72"/>
        </w:rPr>
      </w:pPr>
    </w:p>
    <w:p>
      <w:pPr>
        <w:widowControl/>
        <w:jc w:val="center"/>
        <w:rPr>
          <w:rFonts w:hint="default" w:ascii="Times New Roman" w:hAnsi="Times New Roman" w:cs="Times New Roman" w:eastAsiaTheme="minorEastAsia"/>
          <w:b/>
          <w:sz w:val="72"/>
          <w:szCs w:val="72"/>
        </w:rPr>
      </w:pPr>
    </w:p>
    <w:p>
      <w:pPr>
        <w:widowControl/>
        <w:jc w:val="center"/>
        <w:rPr>
          <w:rFonts w:hint="default" w:ascii="Times New Roman" w:hAnsi="Times New Roman" w:cs="Times New Roman" w:eastAsiaTheme="minorEastAsia"/>
          <w:b/>
          <w:sz w:val="72"/>
          <w:szCs w:val="72"/>
        </w:rPr>
      </w:pPr>
    </w:p>
    <w:p>
      <w:pPr>
        <w:widowControl/>
        <w:jc w:val="center"/>
        <w:rPr>
          <w:rFonts w:hint="default" w:ascii="Times New Roman" w:hAnsi="Times New Roman" w:eastAsia="楷体" w:cs="Times New Roman"/>
          <w:b/>
          <w:sz w:val="44"/>
          <w:szCs w:val="44"/>
        </w:rPr>
        <w:sectPr>
          <w:pgSz w:w="11906" w:h="16838"/>
          <w:pgMar w:top="2098" w:right="1474" w:bottom="1985" w:left="1588" w:header="851" w:footer="992" w:gutter="0"/>
          <w:cols w:space="425" w:num="1"/>
          <w:docGrid w:type="lines" w:linePitch="312" w:charSpace="0"/>
        </w:sectPr>
      </w:pPr>
      <w:r>
        <w:rPr>
          <w:rFonts w:hint="default" w:ascii="Times New Roman" w:hAnsi="Times New Roman" w:cs="Times New Roman"/>
          <w:b/>
          <w:sz w:val="44"/>
          <w:szCs w:val="44"/>
        </w:rPr>
        <w:t>中共文安县委组织部</w:t>
      </w:r>
    </w:p>
    <w:p>
      <w:pPr>
        <w:spacing w:beforeLines="200" w:after="0" w:line="1000" w:lineRule="exact"/>
        <w:jc w:val="center"/>
        <w:rPr>
          <w:rFonts w:hint="default" w:ascii="Times New Roman" w:hAnsi="Times New Roman" w:eastAsia="黑体" w:cs="Times New Roman"/>
          <w:sz w:val="48"/>
          <w:szCs w:val="48"/>
        </w:rPr>
      </w:pPr>
      <w:r>
        <w:rPr>
          <w:rFonts w:hint="default" w:ascii="Times New Roman" w:hAnsi="Times New Roman" w:eastAsia="黑体" w:cs="Times New Roman"/>
          <w:sz w:val="48"/>
          <w:szCs w:val="48"/>
        </w:rPr>
        <w:t>目    录</w:t>
      </w:r>
    </w:p>
    <w:p>
      <w:pPr>
        <w:widowControl/>
        <w:spacing w:line="580" w:lineRule="exact"/>
        <w:ind w:firstLine="640" w:firstLineChars="200"/>
        <w:rPr>
          <w:rFonts w:hint="default" w:ascii="Times New Roman" w:hAnsi="Times New Roman" w:eastAsia="黑体" w:cs="Times New Roman"/>
          <w:sz w:val="32"/>
          <w:szCs w:val="32"/>
        </w:rPr>
      </w:pPr>
    </w:p>
    <w:p>
      <w:pPr>
        <w:widowControl/>
        <w:spacing w:line="580" w:lineRule="exact"/>
        <w:ind w:firstLine="640" w:firstLineChars="200"/>
        <w:rPr>
          <w:rFonts w:hint="default" w:ascii="Times New Roman" w:hAnsi="Times New Roman" w:eastAsia="仿宋_GB2312" w:cs="Times New Roman"/>
          <w:sz w:val="24"/>
          <w:szCs w:val="32"/>
        </w:rPr>
      </w:pPr>
      <w:r>
        <w:rPr>
          <w:rFonts w:hint="default" w:ascii="Times New Roman" w:hAnsi="Times New Roman" w:eastAsia="黑体" w:cs="Times New Roman"/>
          <w:sz w:val="32"/>
          <w:szCs w:val="32"/>
        </w:rPr>
        <w:t>第一部分  部门概况</w:t>
      </w:r>
    </w:p>
    <w:p>
      <w:pPr>
        <w:widowControl/>
        <w:spacing w:line="580" w:lineRule="exact"/>
        <w:ind w:firstLine="1273" w:firstLineChars="39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一、部门职责</w:t>
      </w:r>
    </w:p>
    <w:p>
      <w:pPr>
        <w:widowControl/>
        <w:spacing w:line="580" w:lineRule="exact"/>
        <w:ind w:firstLine="1273" w:firstLineChars="398"/>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二、机构设置</w:t>
      </w:r>
    </w:p>
    <w:p>
      <w:pPr>
        <w:widowControl/>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eastAsia" w:eastAsia="黑体" w:cs="Times New Roman"/>
          <w:sz w:val="32"/>
          <w:szCs w:val="32"/>
          <w:lang w:eastAsia="zh-CN"/>
        </w:rPr>
        <w:t>二</w:t>
      </w:r>
      <w:r>
        <w:rPr>
          <w:rFonts w:hint="default" w:ascii="Times New Roman" w:hAnsi="Times New Roman" w:eastAsia="黑体" w:cs="Times New Roman"/>
          <w:sz w:val="32"/>
          <w:szCs w:val="32"/>
        </w:rPr>
        <w:t xml:space="preserve">部分 </w:t>
      </w:r>
      <w:r>
        <w:rPr>
          <w:rFonts w:hint="default" w:ascii="Times New Roman" w:hAnsi="Times New Roman" w:cs="Times New Roman" w:eastAsiaTheme="minorEastAsia"/>
          <w:sz w:val="32"/>
          <w:szCs w:val="32"/>
        </w:rPr>
        <w:t xml:space="preserve"> 中共文安县委组织部2018年部门决算情况说明</w:t>
      </w:r>
    </w:p>
    <w:p>
      <w:pPr>
        <w:widowControl/>
        <w:spacing w:line="580" w:lineRule="exact"/>
        <w:ind w:left="64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一、收入支出决算总体情况说明</w:t>
      </w:r>
    </w:p>
    <w:p>
      <w:pPr>
        <w:widowControl/>
        <w:spacing w:line="580" w:lineRule="exact"/>
        <w:ind w:left="64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二、收入决算情况说明</w:t>
      </w:r>
    </w:p>
    <w:p>
      <w:pPr>
        <w:widowControl/>
        <w:spacing w:line="580" w:lineRule="exact"/>
        <w:ind w:left="64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三、支出决算情况说明</w:t>
      </w:r>
    </w:p>
    <w:p>
      <w:pPr>
        <w:widowControl/>
        <w:spacing w:line="580" w:lineRule="exact"/>
        <w:ind w:left="64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四、财政拨款收入支出决算情况说明</w:t>
      </w:r>
    </w:p>
    <w:p>
      <w:pPr>
        <w:widowControl/>
        <w:spacing w:line="580" w:lineRule="exact"/>
        <w:ind w:left="64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五、一般公共预算财政拨款“三公”经费支出决算情况说明</w:t>
      </w:r>
    </w:p>
    <w:p>
      <w:pPr>
        <w:widowControl/>
        <w:spacing w:line="580" w:lineRule="exact"/>
        <w:ind w:left="64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六、预算绩效情况说明</w:t>
      </w:r>
    </w:p>
    <w:p>
      <w:pPr>
        <w:widowControl/>
        <w:spacing w:line="580" w:lineRule="exact"/>
        <w:ind w:left="64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七、其他重要事项的说明</w:t>
      </w:r>
    </w:p>
    <w:p>
      <w:pPr>
        <w:widowControl/>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w:t>
      </w:r>
      <w:r>
        <w:rPr>
          <w:rFonts w:hint="eastAsia" w:eastAsia="黑体" w:cs="Times New Roman"/>
          <w:sz w:val="32"/>
          <w:szCs w:val="32"/>
          <w:lang w:eastAsia="zh-CN"/>
        </w:rPr>
        <w:t>三</w:t>
      </w:r>
      <w:r>
        <w:rPr>
          <w:rFonts w:hint="default" w:ascii="Times New Roman" w:hAnsi="Times New Roman" w:eastAsia="黑体" w:cs="Times New Roman"/>
          <w:sz w:val="32"/>
          <w:szCs w:val="32"/>
        </w:rPr>
        <w:t>部分名词解释</w:t>
      </w:r>
    </w:p>
    <w:p>
      <w:pPr>
        <w:widowControl/>
        <w:spacing w:line="580" w:lineRule="exact"/>
        <w:ind w:firstLine="640" w:firstLineChars="200"/>
        <w:rPr>
          <w:rFonts w:hint="default" w:ascii="Times New Roman" w:hAnsi="Times New Roman" w:eastAsia="黑体" w:cs="Times New Roman"/>
          <w:sz w:val="32"/>
          <w:szCs w:val="32"/>
        </w:rPr>
      </w:pPr>
    </w:p>
    <w:p>
      <w:pPr>
        <w:widowControl/>
        <w:spacing w:line="580" w:lineRule="exact"/>
        <w:ind w:firstLine="640" w:firstLineChars="200"/>
        <w:rPr>
          <w:rFonts w:hint="default" w:ascii="Times New Roman" w:hAnsi="Times New Roman" w:eastAsia="黑体" w:cs="Times New Roman"/>
          <w:sz w:val="32"/>
          <w:szCs w:val="32"/>
        </w:rPr>
      </w:pPr>
    </w:p>
    <w:p>
      <w:pPr>
        <w:widowControl/>
        <w:spacing w:line="580" w:lineRule="exact"/>
        <w:ind w:firstLine="640" w:firstLineChars="200"/>
        <w:rPr>
          <w:rFonts w:hint="default" w:ascii="Times New Roman" w:hAnsi="Times New Roman" w:eastAsia="黑体" w:cs="Times New Roman"/>
          <w:sz w:val="32"/>
          <w:szCs w:val="32"/>
        </w:rPr>
      </w:pPr>
    </w:p>
    <w:p>
      <w:pPr>
        <w:widowControl/>
        <w:spacing w:line="580" w:lineRule="exact"/>
        <w:ind w:firstLine="640" w:firstLineChars="200"/>
        <w:rPr>
          <w:rFonts w:hint="default" w:ascii="Times New Roman" w:hAnsi="Times New Roman" w:eastAsia="黑体" w:cs="Times New Roman"/>
          <w:sz w:val="32"/>
          <w:szCs w:val="32"/>
        </w:rPr>
      </w:pPr>
    </w:p>
    <w:p>
      <w:pPr>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widowControl/>
        <w:jc w:val="center"/>
        <w:rPr>
          <w:rFonts w:hint="default" w:ascii="Times New Roman" w:hAnsi="Times New Roman" w:cs="Times New Roman"/>
          <w:color w:val="000000" w:themeColor="text1"/>
          <w:sz w:val="96"/>
          <w:szCs w:val="96"/>
          <w14:textFill>
            <w14:solidFill>
              <w14:schemeClr w14:val="tx1"/>
            </w14:solidFill>
          </w14:textFill>
        </w:rPr>
      </w:pPr>
      <w:r>
        <w:rPr>
          <w:rFonts w:hint="default" w:ascii="Times New Roman" w:hAnsi="Times New Roman" w:cs="Times New Roman" w:eastAsiaTheme="minorEastAsia"/>
          <w:color w:val="000000" w:themeColor="text1"/>
          <w:sz w:val="96"/>
          <w:szCs w:val="96"/>
          <w14:textFill>
            <w14:solidFill>
              <w14:schemeClr w14:val="tx1"/>
            </w14:solidFill>
          </w14:textFill>
        </w:rPr>
        <w:t>第一部分  部门概况</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spacing w:before="0" w:after="0" w:line="600" w:lineRule="exact"/>
        <w:jc w:val="left"/>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一、部门职责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指导全县党组织特别是党的基层组织建设；研究和指导各类新的经济组织中党的建设工作；协调、规划和提出党内生活制度建设的意见；协调、规划和指导全县党员教育工作；主管党员的管理和发展工作；组织新时期党的建设的理论研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提出关于乡镇、管区、农场和县直各部门领导班子调整、配备的意见和建议；负责县委管理干部的考察和办理任免、工资、待遇、退（离）休审批手续；指导乡局级领导班子的思想作风建设；负责参照管理单位工作人员考核及奖惩工作；承办部分干部的调配、交流及安置事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（三）负责对全县各级领导班子和领导干部的监督工作；负责对全县党委（党组）及组织（人事）部门贯彻党的干部路线、方针、政策和执行干部选拔任用纪律情况的监督。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（四）研究制定全县干部队伍建设的方针、政策，负责全县干部队伍建设的宏观指导工作；组织落实培养选拔后备干部、妇女干部、少数民族干部工作。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（五）从宏观上研究和指导全县党的组织制度和干部人事制度的改革，制定或参与制定全县组织、干部、人事工作的重要政策和制度。</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（六）负责全县组织工作和干部工作的检查督促，及时向县委反映重要情况，提出建议。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主管全县干部教育培训工作，制定干部教育培训工作的方针、政策、规划；研究和探索适合我县实际的干部培训制度；负责具体组织县委管理干部和一定层次其他干部的培训；负责全县知识分子工作的综合协调、检查指导，负责县管专业技术拔尖人才的选拔管理及科技副职的宏观管理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（八）负责全县因公出国（境）人员的初审工作；受理党员、干部的有关申诉和党员、干部、群众的来信来访工作；负责全县组织史资料征集和</w:t>
      </w:r>
      <w:r>
        <w:rPr>
          <w:rFonts w:hint="eastAsia" w:eastAsia="仿宋_GB2312" w:cs="Times New Roman"/>
          <w:sz w:val="32"/>
          <w:szCs w:val="32"/>
          <w:lang w:eastAsia="zh-CN"/>
        </w:rPr>
        <w:t>编纂</w:t>
      </w:r>
      <w:r>
        <w:rPr>
          <w:rFonts w:hint="default" w:ascii="Times New Roman" w:hAnsi="Times New Roman" w:eastAsia="仿宋_GB2312" w:cs="Times New Roman"/>
          <w:sz w:val="32"/>
          <w:szCs w:val="32"/>
        </w:rPr>
        <w:t>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（九）负责全县党组织、党员和干部的统计工作；主管全县干部档案管理的宏观指导工作；负责县管干部及部分其他人员的档案管理工作；负责全县党费的收缴、管理和使用工作。</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（十）协同老干部局做好全县离退休老干部的安置和管理工作。</w:t>
      </w:r>
    </w:p>
    <w:p>
      <w:pPr>
        <w:spacing w:line="600" w:lineRule="exact"/>
        <w:ind w:firstLine="640" w:firstLineChars="200"/>
        <w:rPr>
          <w:rFonts w:hint="default" w:ascii="Times New Roman" w:hAnsi="Times New Roman" w:eastAsia="仿宋_GB2312" w:cs="Times New Roman"/>
          <w:color w:val="333333"/>
          <w:kern w:val="0"/>
          <w:sz w:val="32"/>
          <w:szCs w:val="32"/>
          <w:shd w:val="clear" w:color="auto" w:fill="FFFFFF"/>
        </w:rPr>
      </w:pPr>
      <w:r>
        <w:rPr>
          <w:rFonts w:hint="default" w:ascii="Times New Roman" w:hAnsi="Times New Roman" w:eastAsia="仿宋_GB2312" w:cs="Times New Roman"/>
          <w:sz w:val="32"/>
          <w:szCs w:val="32"/>
        </w:rPr>
        <w:t>（十一）完成县委交办的其他任务。</w:t>
      </w:r>
    </w:p>
    <w:p>
      <w:pPr>
        <w:pStyle w:val="2"/>
        <w:spacing w:before="0" w:after="0" w:line="600" w:lineRule="exact"/>
        <w:jc w:val="left"/>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二、机构设置</w:t>
      </w:r>
    </w:p>
    <w:p>
      <w:pPr>
        <w:spacing w:after="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从决算编报单位构成看，纳入2018 年度本部门决算汇编范围的独立核算单位（以下简称“单位”）共1个，具体情况如下：</w:t>
      </w:r>
    </w:p>
    <w:tbl>
      <w:tblPr>
        <w:tblStyle w:val="14"/>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序号</w:t>
            </w:r>
          </w:p>
        </w:tc>
        <w:tc>
          <w:tcPr>
            <w:tcW w:w="3485" w:type="dxa"/>
            <w:vAlign w:val="center"/>
          </w:tcPr>
          <w:p>
            <w:pPr>
              <w:spacing w:after="0" w:line="56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单位名称</w:t>
            </w:r>
          </w:p>
        </w:tc>
        <w:tc>
          <w:tcPr>
            <w:tcW w:w="2445" w:type="dxa"/>
            <w:vAlign w:val="center"/>
          </w:tcPr>
          <w:p>
            <w:pPr>
              <w:spacing w:after="0" w:line="56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单位基本性质</w:t>
            </w:r>
          </w:p>
        </w:tc>
        <w:tc>
          <w:tcPr>
            <w:tcW w:w="2665" w:type="dxa"/>
            <w:vAlign w:val="center"/>
          </w:tcPr>
          <w:p>
            <w:pPr>
              <w:spacing w:after="0" w:line="56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485" w:type="dxa"/>
          </w:tcPr>
          <w:p>
            <w:pPr>
              <w:spacing w:after="0" w:line="560" w:lineRule="exac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中国共产党文安县委员会组织部(本级)</w:t>
            </w:r>
          </w:p>
        </w:tc>
        <w:tc>
          <w:tcPr>
            <w:tcW w:w="2445" w:type="dxa"/>
          </w:tcPr>
          <w:p>
            <w:pPr>
              <w:spacing w:after="0" w:line="560" w:lineRule="exact"/>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行政单位</w:t>
            </w:r>
          </w:p>
        </w:tc>
        <w:tc>
          <w:tcPr>
            <w:tcW w:w="2665" w:type="dxa"/>
          </w:tcPr>
          <w:p>
            <w:pPr>
              <w:spacing w:after="0" w:line="5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hint="default" w:ascii="Times New Roman" w:hAnsi="Times New Roman" w:eastAsia="仿宋_GB2312" w:cs="Times New Roman"/>
                <w:kern w:val="0"/>
                <w:sz w:val="28"/>
                <w:szCs w:val="28"/>
              </w:rPr>
            </w:pPr>
          </w:p>
        </w:tc>
      </w:tr>
    </w:tbl>
    <w:p>
      <w:pPr>
        <w:widowControl/>
        <w:spacing w:line="560" w:lineRule="exact"/>
        <w:rPr>
          <w:rFonts w:hint="default" w:ascii="Times New Roman" w:hAnsi="Times New Roman" w:eastAsia="黑体" w:cs="Times New Roman"/>
          <w:bCs/>
          <w:kern w:val="0"/>
          <w:sz w:val="52"/>
          <w:szCs w:val="52"/>
        </w:rPr>
      </w:pPr>
    </w:p>
    <w:p>
      <w:pPr>
        <w:widowControl/>
        <w:spacing w:line="560" w:lineRule="exact"/>
        <w:jc w:val="center"/>
        <w:rPr>
          <w:rFonts w:hint="default" w:ascii="Times New Roman" w:hAnsi="Times New Roman" w:eastAsia="黑体" w:cs="Times New Roman"/>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int="default" w:ascii="Times New Roman" w:hAnsi="Times New Roman" w:cs="Times New Roman" w:eastAsiaTheme="minorEastAsia"/>
          <w:color w:val="000000" w:themeColor="text1"/>
          <w:sz w:val="72"/>
          <w:szCs w:val="96"/>
          <w14:textFill>
            <w14:solidFill>
              <w14:schemeClr w14:val="tx1"/>
            </w14:solidFill>
          </w14:textFill>
        </w:rPr>
      </w:pPr>
    </w:p>
    <w:p>
      <w:pPr>
        <w:widowControl/>
        <w:spacing w:line="1200" w:lineRule="exact"/>
        <w:jc w:val="center"/>
        <w:rPr>
          <w:rFonts w:hint="default" w:ascii="Times New Roman" w:hAnsi="Times New Roman" w:cs="Times New Roman" w:eastAsiaTheme="minorEastAsia"/>
          <w:color w:val="000000" w:themeColor="text1"/>
          <w:sz w:val="72"/>
          <w:szCs w:val="96"/>
          <w14:textFill>
            <w14:solidFill>
              <w14:schemeClr w14:val="tx1"/>
            </w14:solidFill>
          </w14:textFill>
        </w:rPr>
      </w:pPr>
    </w:p>
    <w:p>
      <w:pPr>
        <w:tabs>
          <w:tab w:val="left" w:pos="1086"/>
        </w:tabs>
        <w:jc w:val="left"/>
        <w:rPr>
          <w:rFonts w:hint="default" w:ascii="Times New Roman" w:hAnsi="Times New Roman" w:cs="Times New Roman" w:eastAsiaTheme="minorEastAsia"/>
          <w:color w:val="000000" w:themeColor="text1"/>
          <w:sz w:val="96"/>
          <w:szCs w:val="96"/>
          <w14:textFill>
            <w14:solidFill>
              <w14:schemeClr w14:val="tx1"/>
            </w14:solidFill>
          </w14:textFill>
        </w:rPr>
      </w:pPr>
    </w:p>
    <w:p>
      <w:pPr>
        <w:widowControl/>
        <w:spacing w:line="1200" w:lineRule="exact"/>
        <w:jc w:val="both"/>
        <w:rPr>
          <w:rFonts w:hint="default" w:ascii="Times New Roman" w:hAnsi="Times New Roman" w:cs="Times New Roman" w:eastAsiaTheme="minorEastAsia"/>
          <w:color w:val="000000" w:themeColor="text1"/>
          <w:sz w:val="96"/>
          <w:szCs w:val="96"/>
          <w14:textFill>
            <w14:solidFill>
              <w14:schemeClr w14:val="tx1"/>
            </w14:solidFill>
          </w14:textFill>
        </w:rPr>
      </w:pPr>
    </w:p>
    <w:p>
      <w:pPr>
        <w:widowControl/>
        <w:spacing w:line="1200" w:lineRule="exact"/>
        <w:jc w:val="center"/>
        <w:rPr>
          <w:rFonts w:hint="default" w:ascii="Times New Roman" w:hAnsi="Times New Roman" w:cs="Times New Roman" w:eastAsiaTheme="minorEastAsia"/>
          <w:color w:val="000000" w:themeColor="text1"/>
          <w:sz w:val="96"/>
          <w:szCs w:val="96"/>
          <w14:textFill>
            <w14:solidFill>
              <w14:schemeClr w14:val="tx1"/>
            </w14:solidFill>
          </w14:textFill>
        </w:rPr>
      </w:pPr>
      <w:r>
        <w:rPr>
          <w:rFonts w:hint="default" w:ascii="Times New Roman" w:hAnsi="Times New Roman" w:cs="Times New Roman" w:eastAsiaTheme="minorEastAsia"/>
          <w:color w:val="000000" w:themeColor="text1"/>
          <w:sz w:val="96"/>
          <w:szCs w:val="96"/>
          <w14:textFill>
            <w14:solidFill>
              <w14:schemeClr w14:val="tx1"/>
            </w14:solidFill>
          </w14:textFill>
        </w:rPr>
        <w:t>第</w:t>
      </w:r>
      <w:r>
        <w:rPr>
          <w:rFonts w:hint="eastAsia" w:cs="Times New Roman" w:eastAsiaTheme="minorEastAsia"/>
          <w:color w:val="000000" w:themeColor="text1"/>
          <w:sz w:val="96"/>
          <w:szCs w:val="96"/>
          <w:lang w:eastAsia="zh-CN"/>
          <w14:textFill>
            <w14:solidFill>
              <w14:schemeClr w14:val="tx1"/>
            </w14:solidFill>
          </w14:textFill>
        </w:rPr>
        <w:t>二</w:t>
      </w:r>
      <w:r>
        <w:rPr>
          <w:rFonts w:hint="default" w:ascii="Times New Roman" w:hAnsi="Times New Roman" w:cs="Times New Roman" w:eastAsiaTheme="minorEastAsia"/>
          <w:color w:val="000000" w:themeColor="text1"/>
          <w:sz w:val="96"/>
          <w:szCs w:val="96"/>
          <w14:textFill>
            <w14:solidFill>
              <w14:schemeClr w14:val="tx1"/>
            </w14:solidFill>
          </w14:textFill>
        </w:rPr>
        <w:t>部分</w:t>
      </w:r>
    </w:p>
    <w:p>
      <w:pPr>
        <w:widowControl/>
        <w:spacing w:line="1200" w:lineRule="exact"/>
        <w:jc w:val="center"/>
        <w:rPr>
          <w:rFonts w:hint="default" w:ascii="Times New Roman" w:hAnsi="Times New Roman" w:cs="Times New Roman"/>
          <w:color w:val="000000" w:themeColor="text1"/>
          <w:sz w:val="96"/>
          <w:szCs w:val="96"/>
          <w14:textFill>
            <w14:solidFill>
              <w14:schemeClr w14:val="tx1"/>
            </w14:solidFill>
          </w14:textFill>
        </w:rPr>
      </w:pPr>
      <w:r>
        <w:rPr>
          <w:rFonts w:hint="default" w:ascii="Times New Roman" w:hAnsi="Times New Roman" w:cs="Times New Roman" w:eastAsiaTheme="minorEastAsia"/>
          <w:color w:val="000000" w:themeColor="text1"/>
          <w:sz w:val="96"/>
          <w:szCs w:val="96"/>
          <w14:textFill>
            <w14:solidFill>
              <w14:schemeClr w14:val="tx1"/>
            </w14:solidFill>
          </w14:textFill>
        </w:rPr>
        <w:t>部门决算情况说明</w:t>
      </w:r>
    </w:p>
    <w:p>
      <w:pPr>
        <w:rPr>
          <w:rFonts w:hint="default" w:ascii="Times New Roman" w:hAnsi="Times New Roman" w:cs="Times New Roman"/>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一、收入</w:t>
      </w:r>
      <w:r>
        <w:rPr>
          <w:rFonts w:hint="default" w:ascii="Times New Roman" w:hAnsi="Times New Roman" w:eastAsia="黑体" w:cs="Times New Roman"/>
          <w:b w:val="0"/>
          <w:bCs w:val="0"/>
          <w:kern w:val="0"/>
        </w:rPr>
        <w:t>支出</w:t>
      </w:r>
      <w:r>
        <w:rPr>
          <w:rFonts w:hint="default" w:ascii="Times New Roman" w:hAnsi="Times New Roman" w:eastAsia="黑体" w:cs="Times New Roman"/>
          <w:b w:val="0"/>
          <w:bCs w:val="0"/>
        </w:rPr>
        <w:t>决算总体情况说明</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w:t>
      </w:r>
      <w:r>
        <w:rPr>
          <w:rFonts w:hint="eastAsia" w:ascii="Times New Roman" w:hAnsi="Times New Roman" w:eastAsia="仿宋_GB2312" w:cs="Times New Roman"/>
          <w:kern w:val="0"/>
          <w:sz w:val="32"/>
          <w:szCs w:val="32"/>
          <w:shd w:val="clear" w:color="auto" w:fill="FFFFFF"/>
          <w:lang w:val="en-US" w:eastAsia="zh-CN" w:bidi="ar-SA"/>
        </w:rPr>
        <w:t>2018</w:t>
      </w:r>
      <w:r>
        <w:rPr>
          <w:rFonts w:hint="eastAsia" w:ascii="仿宋" w:hAnsi="仿宋" w:eastAsia="仿宋" w:cs="DengXian-Regular"/>
          <w:sz w:val="32"/>
          <w:szCs w:val="32"/>
        </w:rPr>
        <w:t>年度</w:t>
      </w:r>
      <w:r>
        <w:rPr>
          <w:rFonts w:hint="eastAsia" w:ascii="仿宋" w:hAnsi="仿宋" w:eastAsia="仿宋" w:cs="宋体"/>
          <w:sz w:val="32"/>
          <w:szCs w:val="32"/>
        </w:rPr>
        <w:t>收入</w:t>
      </w:r>
      <w:r>
        <w:rPr>
          <w:rFonts w:hint="eastAsia" w:ascii="Times New Roman" w:hAnsi="Times New Roman" w:eastAsia="仿宋_GB2312" w:cs="Times New Roman"/>
          <w:kern w:val="0"/>
          <w:sz w:val="32"/>
          <w:szCs w:val="32"/>
          <w:shd w:val="clear" w:color="auto" w:fill="FFFFFF"/>
          <w:lang w:val="en-US" w:eastAsia="zh-CN" w:bidi="ar-SA"/>
        </w:rPr>
        <w:t>3155.72</w:t>
      </w:r>
      <w:r>
        <w:rPr>
          <w:rFonts w:hint="eastAsia" w:ascii="仿宋" w:hAnsi="仿宋" w:eastAsia="仿宋" w:cs="宋体"/>
          <w:sz w:val="32"/>
          <w:szCs w:val="32"/>
        </w:rPr>
        <w:t>万元,含上年结转</w:t>
      </w:r>
      <w:r>
        <w:rPr>
          <w:rFonts w:hint="eastAsia" w:ascii="Times New Roman" w:hAnsi="Times New Roman" w:eastAsia="仿宋_GB2312" w:cs="Times New Roman"/>
          <w:kern w:val="0"/>
          <w:sz w:val="32"/>
          <w:szCs w:val="32"/>
          <w:shd w:val="clear" w:color="auto" w:fill="FFFFFF"/>
          <w:lang w:val="en-US" w:eastAsia="zh-CN" w:bidi="ar-SA"/>
        </w:rPr>
        <w:t>0</w:t>
      </w:r>
      <w:r>
        <w:rPr>
          <w:rFonts w:hint="eastAsia" w:ascii="仿宋" w:hAnsi="仿宋" w:eastAsia="仿宋" w:cs="宋体"/>
          <w:sz w:val="32"/>
          <w:szCs w:val="32"/>
        </w:rPr>
        <w:t>万元；本年支出</w:t>
      </w:r>
      <w:r>
        <w:rPr>
          <w:rFonts w:hint="eastAsia" w:ascii="Times New Roman" w:hAnsi="Times New Roman" w:eastAsia="仿宋_GB2312" w:cs="Times New Roman"/>
          <w:kern w:val="0"/>
          <w:sz w:val="32"/>
          <w:szCs w:val="32"/>
          <w:shd w:val="clear" w:color="auto" w:fill="FFFFFF"/>
          <w:lang w:val="en-US" w:eastAsia="zh-CN" w:bidi="ar-SA"/>
        </w:rPr>
        <w:t>3049.33</w:t>
      </w:r>
      <w:r>
        <w:rPr>
          <w:rFonts w:hint="eastAsia" w:ascii="仿宋" w:hAnsi="仿宋" w:eastAsia="仿宋" w:cs="宋体"/>
          <w:sz w:val="32"/>
          <w:szCs w:val="32"/>
        </w:rPr>
        <w:t>万元，年末结转和结余</w:t>
      </w:r>
      <w:r>
        <w:rPr>
          <w:rFonts w:hint="eastAsia" w:ascii="Times New Roman" w:hAnsi="Times New Roman" w:eastAsia="仿宋_GB2312" w:cs="Times New Roman"/>
          <w:kern w:val="0"/>
          <w:sz w:val="32"/>
          <w:szCs w:val="32"/>
          <w:shd w:val="clear" w:color="auto" w:fill="FFFFFF"/>
          <w:lang w:val="en-US" w:eastAsia="zh-CN" w:bidi="ar-SA"/>
        </w:rPr>
        <w:t>12.02</w:t>
      </w:r>
      <w:r>
        <w:rPr>
          <w:rFonts w:hint="eastAsia" w:ascii="仿宋" w:hAnsi="仿宋" w:eastAsia="仿宋" w:cs="宋体"/>
          <w:sz w:val="32"/>
          <w:szCs w:val="32"/>
        </w:rPr>
        <w:t>万元。</w:t>
      </w:r>
      <w:r>
        <w:rPr>
          <w:rFonts w:hint="eastAsia" w:ascii="Times New Roman" w:hAnsi="Times New Roman" w:eastAsia="仿宋_GB2312" w:cs="Times New Roman"/>
          <w:kern w:val="0"/>
          <w:sz w:val="32"/>
          <w:szCs w:val="32"/>
          <w:shd w:val="clear" w:color="auto" w:fill="FFFFFF"/>
          <w:lang w:val="en-US" w:eastAsia="zh-CN" w:bidi="ar-SA"/>
        </w:rPr>
        <w:t>2017</w:t>
      </w:r>
      <w:r>
        <w:rPr>
          <w:rFonts w:hint="eastAsia" w:ascii="仿宋" w:hAnsi="仿宋" w:eastAsia="仿宋" w:cs="DengXian-Regular"/>
          <w:sz w:val="32"/>
          <w:szCs w:val="32"/>
        </w:rPr>
        <w:t>年度收入总计（含结转和结余）</w:t>
      </w:r>
      <w:r>
        <w:rPr>
          <w:rFonts w:hint="eastAsia" w:ascii="Times New Roman" w:hAnsi="Times New Roman" w:eastAsia="仿宋_GB2312" w:cs="Times New Roman"/>
          <w:kern w:val="0"/>
          <w:sz w:val="32"/>
          <w:szCs w:val="32"/>
          <w:shd w:val="clear" w:color="auto" w:fill="FFFFFF"/>
          <w:lang w:val="en-US" w:eastAsia="zh-CN" w:bidi="ar-SA"/>
        </w:rPr>
        <w:t>2795.09</w:t>
      </w:r>
      <w:r>
        <w:rPr>
          <w:rFonts w:hint="eastAsia" w:ascii="仿宋" w:hAnsi="仿宋" w:eastAsia="仿宋" w:cs="DengXian-Regular"/>
          <w:sz w:val="32"/>
          <w:szCs w:val="32"/>
        </w:rPr>
        <w:t>万元</w:t>
      </w:r>
      <w:r>
        <w:rPr>
          <w:rFonts w:hint="eastAsia" w:ascii="仿宋" w:hAnsi="仿宋" w:eastAsia="仿宋" w:cs="宋体"/>
          <w:sz w:val="32"/>
          <w:szCs w:val="32"/>
        </w:rPr>
        <w:t>；本年支出</w:t>
      </w:r>
      <w:r>
        <w:rPr>
          <w:rFonts w:hint="eastAsia" w:ascii="Times New Roman" w:hAnsi="Times New Roman" w:eastAsia="仿宋_GB2312" w:cs="Times New Roman"/>
          <w:kern w:val="0"/>
          <w:sz w:val="32"/>
          <w:szCs w:val="32"/>
          <w:shd w:val="clear" w:color="auto" w:fill="FFFFFF"/>
          <w:lang w:val="en-US" w:eastAsia="zh-CN" w:bidi="ar-SA"/>
        </w:rPr>
        <w:t>2785.62</w:t>
      </w:r>
      <w:r>
        <w:rPr>
          <w:rFonts w:hint="eastAsia" w:ascii="仿宋" w:hAnsi="仿宋" w:eastAsia="仿宋" w:cs="宋体"/>
          <w:sz w:val="32"/>
          <w:szCs w:val="32"/>
        </w:rPr>
        <w:t>万元</w:t>
      </w:r>
      <w:r>
        <w:rPr>
          <w:rFonts w:hint="eastAsia" w:ascii="仿宋" w:hAnsi="仿宋" w:eastAsia="仿宋" w:cs="DengXian-Regular"/>
          <w:sz w:val="32"/>
          <w:szCs w:val="32"/>
        </w:rPr>
        <w:t>。与</w:t>
      </w:r>
      <w:r>
        <w:rPr>
          <w:rFonts w:hint="eastAsia" w:ascii="Times New Roman" w:hAnsi="Times New Roman" w:eastAsia="仿宋_GB2312" w:cs="Times New Roman"/>
          <w:kern w:val="0"/>
          <w:sz w:val="32"/>
          <w:szCs w:val="32"/>
          <w:shd w:val="clear" w:color="auto" w:fill="FFFFFF"/>
          <w:lang w:val="en-US" w:eastAsia="zh-CN" w:bidi="ar-SA"/>
        </w:rPr>
        <w:t>2017</w:t>
      </w:r>
      <w:r>
        <w:rPr>
          <w:rFonts w:hint="eastAsia" w:ascii="仿宋" w:hAnsi="仿宋" w:eastAsia="仿宋" w:cs="DengXian-Regular"/>
          <w:sz w:val="32"/>
          <w:szCs w:val="32"/>
        </w:rPr>
        <w:t>年度决算相比，本年收入增加</w:t>
      </w:r>
      <w:r>
        <w:rPr>
          <w:rFonts w:hint="eastAsia" w:ascii="Times New Roman" w:hAnsi="Times New Roman" w:eastAsia="仿宋_GB2312" w:cs="Times New Roman"/>
          <w:kern w:val="0"/>
          <w:sz w:val="32"/>
          <w:szCs w:val="32"/>
          <w:shd w:val="clear" w:color="auto" w:fill="FFFFFF"/>
          <w:lang w:val="en-US" w:eastAsia="zh-CN" w:bidi="ar-SA"/>
        </w:rPr>
        <w:t>360.63</w:t>
      </w:r>
      <w:r>
        <w:rPr>
          <w:rFonts w:hint="eastAsia" w:ascii="仿宋" w:hAnsi="仿宋" w:eastAsia="仿宋" w:cs="DengXian-Regular"/>
          <w:sz w:val="32"/>
          <w:szCs w:val="32"/>
        </w:rPr>
        <w:t>万元，增长</w:t>
      </w:r>
      <w:r>
        <w:rPr>
          <w:rFonts w:hint="eastAsia" w:ascii="Times New Roman" w:hAnsi="Times New Roman" w:eastAsia="仿宋_GB2312" w:cs="Times New Roman"/>
          <w:kern w:val="0"/>
          <w:sz w:val="32"/>
          <w:szCs w:val="32"/>
          <w:shd w:val="clear" w:color="auto" w:fill="FFFFFF"/>
          <w:lang w:val="en-US" w:eastAsia="zh-CN" w:bidi="ar-SA"/>
        </w:rPr>
        <w:t>12.90%</w:t>
      </w:r>
      <w:r>
        <w:rPr>
          <w:rFonts w:hint="eastAsia" w:ascii="仿宋" w:hAnsi="仿宋" w:eastAsia="仿宋" w:cs="DengXian-Regular"/>
          <w:sz w:val="32"/>
          <w:szCs w:val="32"/>
        </w:rPr>
        <w:t>；本年支出</w:t>
      </w:r>
      <w:r>
        <w:rPr>
          <w:rFonts w:hint="eastAsia" w:ascii="仿宋" w:hAnsi="仿宋" w:eastAsia="仿宋" w:cs="宋体"/>
          <w:sz w:val="32"/>
          <w:szCs w:val="32"/>
        </w:rPr>
        <w:t>增加</w:t>
      </w:r>
      <w:r>
        <w:rPr>
          <w:rFonts w:hint="eastAsia" w:ascii="Times New Roman" w:hAnsi="Times New Roman" w:eastAsia="仿宋_GB2312" w:cs="Times New Roman"/>
          <w:kern w:val="0"/>
          <w:sz w:val="32"/>
          <w:szCs w:val="32"/>
          <w:shd w:val="clear" w:color="auto" w:fill="FFFFFF"/>
          <w:lang w:val="en-US" w:eastAsia="zh-CN" w:bidi="ar-SA"/>
        </w:rPr>
        <w:t>263.71</w:t>
      </w:r>
      <w:r>
        <w:rPr>
          <w:rFonts w:hint="eastAsia" w:ascii="仿宋" w:hAnsi="仿宋" w:eastAsia="仿宋" w:cs="宋体"/>
          <w:sz w:val="32"/>
          <w:szCs w:val="32"/>
        </w:rPr>
        <w:t>万元，增长</w:t>
      </w:r>
      <w:r>
        <w:rPr>
          <w:rFonts w:hint="eastAsia" w:ascii="Times New Roman" w:hAnsi="Times New Roman" w:eastAsia="仿宋_GB2312" w:cs="Times New Roman"/>
          <w:kern w:val="0"/>
          <w:sz w:val="32"/>
          <w:szCs w:val="32"/>
          <w:shd w:val="clear" w:color="auto" w:fill="FFFFFF"/>
          <w:lang w:val="en-US" w:eastAsia="zh-CN" w:bidi="ar-SA"/>
        </w:rPr>
        <w:t>9.47</w:t>
      </w:r>
      <w:r>
        <w:rPr>
          <w:rFonts w:hint="eastAsia" w:ascii="仿宋" w:hAnsi="仿宋" w:eastAsia="仿宋" w:cs="宋体"/>
          <w:sz w:val="32"/>
          <w:szCs w:val="32"/>
        </w:rPr>
        <w:t>%，收入支出增加原因</w:t>
      </w:r>
      <w:r>
        <w:rPr>
          <w:rFonts w:hint="eastAsia" w:ascii="仿宋" w:hAnsi="仿宋" w:eastAsia="仿宋" w:cs="DengXian-Regular"/>
          <w:sz w:val="32"/>
          <w:szCs w:val="32"/>
        </w:rPr>
        <w:t>主要是</w:t>
      </w:r>
      <w:r>
        <w:rPr>
          <w:rFonts w:hint="eastAsia" w:ascii="仿宋_GB2312" w:hAnsi="仿宋_GB2312" w:eastAsia="仿宋_GB2312" w:cs="仿宋_GB2312"/>
          <w:sz w:val="32"/>
          <w:szCs w:val="32"/>
          <w:lang w:eastAsia="zh-CN"/>
        </w:rPr>
        <w:t>根据《中共廊坊市委组织部</w:t>
      </w:r>
      <w:r>
        <w:rPr>
          <w:rFonts w:hint="eastAsia" w:ascii="仿宋_GB2312" w:hAnsi="仿宋_GB2312" w:eastAsia="仿宋_GB2312" w:cs="仿宋_GB2312"/>
          <w:sz w:val="32"/>
          <w:szCs w:val="32"/>
          <w:lang w:val="en-US" w:eastAsia="zh-CN"/>
        </w:rPr>
        <w:t>、廊坊市财政局关于认真落实省委组织部、省财政厅印发的&lt;关于提高村级组织运转经费保障水平的意见&gt;的通知</w:t>
      </w:r>
      <w:r>
        <w:rPr>
          <w:rFonts w:hint="eastAsia" w:ascii="仿宋_GB2312" w:hAnsi="仿宋_GB2312" w:eastAsia="仿宋_GB2312" w:cs="仿宋_GB2312"/>
          <w:sz w:val="32"/>
          <w:szCs w:val="32"/>
          <w:lang w:eastAsia="zh-CN"/>
        </w:rPr>
        <w:t>》（廊组字【</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94号</w:t>
      </w:r>
      <w:r>
        <w:rPr>
          <w:rFonts w:hint="eastAsia" w:ascii="仿宋_GB2312" w:hAnsi="仿宋_GB2312" w:eastAsia="仿宋_GB2312" w:cs="仿宋_GB2312"/>
          <w:sz w:val="32"/>
          <w:szCs w:val="32"/>
          <w:lang w:eastAsia="zh-CN"/>
        </w:rPr>
        <w:t>）要求村级组织运转经费收入和支出</w:t>
      </w:r>
      <w:r>
        <w:rPr>
          <w:rFonts w:hint="eastAsia" w:ascii="仿宋_GB2312" w:hAnsi="仿宋_GB2312" w:eastAsia="仿宋_GB2312" w:cs="仿宋_GB2312"/>
          <w:sz w:val="32"/>
          <w:szCs w:val="32"/>
        </w:rPr>
        <w:t>增加</w:t>
      </w:r>
      <w:r>
        <w:rPr>
          <w:rFonts w:hint="eastAsia" w:ascii="仿宋" w:hAnsi="仿宋" w:eastAsia="仿宋" w:cs="DengXian-Regular"/>
          <w:sz w:val="32"/>
          <w:szCs w:val="32"/>
        </w:rPr>
        <w:t>。</w:t>
      </w:r>
    </w:p>
    <w:p>
      <w:pPr>
        <w:pStyle w:val="3"/>
        <w:spacing w:before="0" w:after="0" w:line="580" w:lineRule="exact"/>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二、收入决算情况说明</w:t>
      </w:r>
    </w:p>
    <w:p>
      <w:pPr>
        <w:pStyle w:val="11"/>
        <w:shd w:val="clear" w:color="auto" w:fill="FFFFFF"/>
        <w:spacing w:before="0" w:beforeAutospacing="0" w:after="0" w:afterAutospacing="0" w:line="405" w:lineRule="atLeast"/>
        <w:ind w:firstLine="640" w:firstLineChars="200"/>
        <w:rPr>
          <w:rFonts w:hint="default" w:ascii="Times New Roman" w:hAnsi="Times New Roman" w:eastAsia="仿宋_GB2312" w:cs="Times New Roman"/>
          <w:color w:val="333333"/>
          <w:sz w:val="32"/>
          <w:szCs w:val="32"/>
          <w:shd w:val="clear" w:color="auto" w:fill="FFFFFF"/>
          <w:lang w:val="en-US" w:eastAsia="zh-CN"/>
        </w:rPr>
      </w:pPr>
      <w:r>
        <w:rPr>
          <w:rFonts w:hint="eastAsia" w:ascii="Times New Roman" w:hAnsi="Times New Roman" w:eastAsia="仿宋_GB2312" w:cs="Times New Roman"/>
          <w:color w:val="333333"/>
          <w:sz w:val="32"/>
          <w:szCs w:val="32"/>
          <w:shd w:val="clear" w:color="auto" w:fill="FFFFFF"/>
          <w:lang w:eastAsia="zh-CN"/>
        </w:rPr>
        <w:t>本部门</w:t>
      </w:r>
      <w:r>
        <w:rPr>
          <w:rFonts w:hint="eastAsia" w:ascii="Times New Roman" w:hAnsi="Times New Roman" w:eastAsia="仿宋_GB2312" w:cs="Times New Roman"/>
          <w:color w:val="333333"/>
          <w:sz w:val="32"/>
          <w:szCs w:val="32"/>
          <w:shd w:val="clear" w:color="auto" w:fill="FFFFFF"/>
          <w:lang w:val="en-US" w:eastAsia="zh-CN"/>
        </w:rPr>
        <w:t>2018</w:t>
      </w:r>
      <w:r>
        <w:rPr>
          <w:rFonts w:hint="default" w:ascii="Times New Roman" w:hAnsi="Times New Roman" w:eastAsia="仿宋_GB2312" w:cs="Times New Roman"/>
          <w:color w:val="333333"/>
          <w:sz w:val="32"/>
          <w:szCs w:val="32"/>
          <w:shd w:val="clear" w:color="auto" w:fill="FFFFFF"/>
        </w:rPr>
        <w:t>年度</w:t>
      </w:r>
      <w:r>
        <w:rPr>
          <w:rFonts w:hint="eastAsia" w:ascii="Times New Roman" w:hAnsi="Times New Roman" w:eastAsia="仿宋_GB2312" w:cs="Times New Roman"/>
          <w:color w:val="333333"/>
          <w:sz w:val="32"/>
          <w:szCs w:val="32"/>
          <w:shd w:val="clear" w:color="auto" w:fill="FFFFFF"/>
          <w:lang w:eastAsia="zh-CN"/>
        </w:rPr>
        <w:t>本年</w:t>
      </w:r>
      <w:r>
        <w:rPr>
          <w:rFonts w:hint="default" w:ascii="Times New Roman" w:hAnsi="Times New Roman" w:eastAsia="仿宋_GB2312" w:cs="Times New Roman"/>
          <w:color w:val="333333"/>
          <w:sz w:val="32"/>
          <w:szCs w:val="32"/>
          <w:shd w:val="clear" w:color="auto" w:fill="FFFFFF"/>
        </w:rPr>
        <w:t>收入</w:t>
      </w:r>
      <w:r>
        <w:rPr>
          <w:rFonts w:hint="eastAsia" w:ascii="Times New Roman" w:hAnsi="Times New Roman" w:eastAsia="仿宋_GB2312" w:cs="Times New Roman"/>
          <w:color w:val="333333"/>
          <w:sz w:val="32"/>
          <w:szCs w:val="32"/>
          <w:shd w:val="clear" w:color="auto" w:fill="FFFFFF"/>
          <w:lang w:eastAsia="zh-CN"/>
        </w:rPr>
        <w:t>合计</w:t>
      </w:r>
      <w:r>
        <w:rPr>
          <w:rFonts w:hint="default" w:ascii="Times New Roman" w:hAnsi="Times New Roman" w:eastAsia="仿宋_GB2312" w:cs="Times New Roman"/>
          <w:sz w:val="32"/>
          <w:szCs w:val="32"/>
          <w:shd w:val="clear" w:color="auto" w:fill="FFFFFF"/>
        </w:rPr>
        <w:t>3155.72</w:t>
      </w:r>
      <w:r>
        <w:rPr>
          <w:rFonts w:hint="default" w:ascii="Times New Roman" w:hAnsi="Times New Roman" w:eastAsia="仿宋_GB2312" w:cs="Times New Roman"/>
          <w:color w:val="333333"/>
          <w:sz w:val="32"/>
          <w:szCs w:val="32"/>
          <w:shd w:val="clear" w:color="auto" w:fill="FFFFFF"/>
        </w:rPr>
        <w:t>万元</w:t>
      </w:r>
      <w:r>
        <w:rPr>
          <w:rFonts w:hint="eastAsia" w:ascii="Times New Roman" w:hAnsi="Times New Roman" w:eastAsia="仿宋_GB2312" w:cs="Times New Roman"/>
          <w:color w:val="333333"/>
          <w:sz w:val="32"/>
          <w:szCs w:val="32"/>
          <w:shd w:val="clear" w:color="auto" w:fill="FFFFFF"/>
          <w:lang w:eastAsia="zh-CN"/>
        </w:rPr>
        <w:t>，其中：财政拨款收入</w:t>
      </w:r>
      <w:r>
        <w:rPr>
          <w:rFonts w:hint="eastAsia" w:ascii="Times New Roman" w:hAnsi="Times New Roman" w:eastAsia="仿宋_GB2312" w:cs="Times New Roman"/>
          <w:color w:val="333333"/>
          <w:sz w:val="32"/>
          <w:szCs w:val="32"/>
          <w:shd w:val="clear" w:color="auto" w:fill="FFFFFF"/>
          <w:lang w:val="en-US" w:eastAsia="zh-CN"/>
        </w:rPr>
        <w:t>3155.72万元，占100%；事业收入0万元，占0%；经营收入0万元，占0%；其他收入0万元，占0%。</w:t>
      </w:r>
    </w:p>
    <w:p>
      <w:pPr>
        <w:pStyle w:val="3"/>
        <w:spacing w:before="0" w:after="0" w:line="580" w:lineRule="exact"/>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三、支出决算情况说明</w:t>
      </w:r>
    </w:p>
    <w:p>
      <w:pPr>
        <w:pStyle w:val="11"/>
        <w:shd w:val="clear" w:color="auto" w:fill="FFFFFF"/>
        <w:spacing w:before="0" w:beforeAutospacing="0" w:after="0" w:afterAutospacing="0" w:line="405" w:lineRule="atLeast"/>
        <w:ind w:firstLine="640" w:firstLineChars="200"/>
        <w:rPr>
          <w:rFonts w:hint="default" w:ascii="Times New Roman" w:hAnsi="Times New Roman" w:eastAsia="仿宋_GB2312" w:cs="Times New Roman"/>
          <w:color w:val="333333"/>
          <w:sz w:val="32"/>
          <w:szCs w:val="32"/>
          <w:shd w:val="clear" w:color="auto" w:fill="FFFFFF"/>
        </w:rPr>
      </w:pPr>
      <w:r>
        <w:rPr>
          <w:rFonts w:hint="eastAsia" w:ascii="Times New Roman" w:hAnsi="Times New Roman" w:eastAsia="仿宋_GB2312" w:cs="Times New Roman"/>
          <w:color w:val="333333"/>
          <w:sz w:val="32"/>
          <w:szCs w:val="32"/>
          <w:shd w:val="clear" w:color="auto" w:fill="FFFFFF"/>
          <w:lang w:eastAsia="zh-CN"/>
        </w:rPr>
        <w:t>本部门</w:t>
      </w:r>
      <w:r>
        <w:rPr>
          <w:rFonts w:hint="default" w:ascii="Times New Roman" w:hAnsi="Times New Roman" w:eastAsia="仿宋_GB2312" w:cs="Times New Roman"/>
          <w:color w:val="333333"/>
          <w:sz w:val="32"/>
          <w:szCs w:val="32"/>
          <w:shd w:val="clear" w:color="auto" w:fill="FFFFFF"/>
        </w:rPr>
        <w:t>2018年度</w:t>
      </w:r>
      <w:r>
        <w:rPr>
          <w:rFonts w:hint="eastAsia" w:ascii="Times New Roman" w:hAnsi="Times New Roman" w:eastAsia="仿宋_GB2312" w:cs="Times New Roman"/>
          <w:color w:val="333333"/>
          <w:sz w:val="32"/>
          <w:szCs w:val="32"/>
          <w:shd w:val="clear" w:color="auto" w:fill="FFFFFF"/>
          <w:lang w:eastAsia="zh-CN"/>
        </w:rPr>
        <w:t>支出合计</w:t>
      </w:r>
      <w:r>
        <w:rPr>
          <w:rFonts w:hint="default" w:ascii="Times New Roman" w:hAnsi="Times New Roman" w:eastAsia="仿宋_GB2312" w:cs="Times New Roman"/>
          <w:color w:val="333333"/>
          <w:sz w:val="32"/>
          <w:szCs w:val="32"/>
          <w:shd w:val="clear" w:color="auto" w:fill="FFFFFF"/>
        </w:rPr>
        <w:t>3049.33万元，</w:t>
      </w:r>
      <w:r>
        <w:rPr>
          <w:rFonts w:hint="eastAsia" w:ascii="Times New Roman" w:hAnsi="Times New Roman" w:eastAsia="仿宋_GB2312" w:cs="Times New Roman"/>
          <w:color w:val="333333"/>
          <w:sz w:val="32"/>
          <w:szCs w:val="32"/>
          <w:shd w:val="clear" w:color="auto" w:fill="FFFFFF"/>
          <w:lang w:eastAsia="zh-CN"/>
        </w:rPr>
        <w:t>其中：基本支出</w:t>
      </w:r>
      <w:r>
        <w:rPr>
          <w:rFonts w:hint="eastAsia" w:ascii="Times New Roman" w:hAnsi="Times New Roman" w:eastAsia="仿宋_GB2312" w:cs="Times New Roman"/>
          <w:color w:val="333333"/>
          <w:sz w:val="32"/>
          <w:szCs w:val="32"/>
          <w:shd w:val="clear" w:color="auto" w:fill="FFFFFF"/>
          <w:lang w:val="en-US" w:eastAsia="zh-CN"/>
        </w:rPr>
        <w:t>292.63万元，占9.60%；项目支出2756.70万元，占90.40%；经营支出0万元，占0%。</w:t>
      </w:r>
      <w:r>
        <w:rPr>
          <w:rFonts w:hint="default" w:ascii="Times New Roman" w:hAnsi="Times New Roman" w:eastAsia="仿宋_GB2312" w:cs="Times New Roman"/>
          <w:color w:val="333333"/>
          <w:sz w:val="32"/>
          <w:szCs w:val="32"/>
          <w:shd w:val="clear" w:color="auto" w:fill="FFFFFF"/>
        </w:rPr>
        <w:t>全部为财政拨款支出。</w:t>
      </w:r>
    </w:p>
    <w:p>
      <w:pPr>
        <w:pStyle w:val="3"/>
        <w:spacing w:before="0" w:after="0" w:line="580" w:lineRule="exact"/>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四、</w:t>
      </w:r>
      <w:r>
        <w:rPr>
          <w:rFonts w:hint="default" w:ascii="Times New Roman" w:hAnsi="Times New Roman" w:eastAsia="黑体" w:cs="Times New Roman"/>
          <w:b w:val="0"/>
          <w:bCs w:val="0"/>
          <w:kern w:val="0"/>
        </w:rPr>
        <w:t>财政</w:t>
      </w:r>
      <w:r>
        <w:rPr>
          <w:rFonts w:hint="default" w:ascii="Times New Roman" w:hAnsi="Times New Roman" w:eastAsia="黑体" w:cs="Times New Roman"/>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ind w:firstLine="640" w:firstLineChars="200"/>
        <w:rPr>
          <w:rFonts w:hint="eastAsia" w:eastAsia="仿宋_GB2312" w:cs="Times New Roman"/>
          <w:sz w:val="32"/>
          <w:szCs w:val="32"/>
          <w:shd w:val="clear" w:color="auto" w:fill="FFFFFF"/>
          <w:lang w:eastAsia="zh-CN"/>
        </w:rPr>
      </w:pPr>
      <w:r>
        <w:rPr>
          <w:rFonts w:hint="eastAsia" w:eastAsia="仿宋_GB2312" w:cs="Times New Roman"/>
          <w:color w:val="333333"/>
          <w:sz w:val="32"/>
          <w:szCs w:val="32"/>
          <w:shd w:val="clear" w:color="auto" w:fill="FFFFFF"/>
          <w:lang w:eastAsia="zh-CN"/>
        </w:rPr>
        <w:t>本部门</w:t>
      </w:r>
      <w:r>
        <w:rPr>
          <w:rFonts w:hint="default" w:ascii="Times New Roman" w:hAnsi="Times New Roman" w:eastAsia="仿宋_GB2312" w:cs="Times New Roman"/>
          <w:color w:val="333333"/>
          <w:sz w:val="32"/>
          <w:szCs w:val="32"/>
          <w:shd w:val="clear" w:color="auto" w:fill="FFFFFF"/>
        </w:rPr>
        <w:t>2018年度</w:t>
      </w:r>
      <w:r>
        <w:rPr>
          <w:rFonts w:hint="eastAsia" w:eastAsia="仿宋_GB2312" w:cs="Times New Roman"/>
          <w:color w:val="333333"/>
          <w:sz w:val="32"/>
          <w:szCs w:val="32"/>
          <w:shd w:val="clear" w:color="auto" w:fill="FFFFFF"/>
          <w:lang w:eastAsia="zh-CN"/>
        </w:rPr>
        <w:t>形成的</w:t>
      </w:r>
      <w:r>
        <w:rPr>
          <w:rFonts w:hint="default" w:ascii="Times New Roman" w:hAnsi="Times New Roman" w:eastAsia="仿宋_GB2312" w:cs="Times New Roman"/>
          <w:color w:val="333333"/>
          <w:sz w:val="32"/>
          <w:szCs w:val="32"/>
          <w:shd w:val="clear" w:color="auto" w:fill="FFFFFF"/>
        </w:rPr>
        <w:t>财政拨款</w:t>
      </w:r>
      <w:r>
        <w:rPr>
          <w:rFonts w:hint="eastAsia" w:eastAsia="仿宋_GB2312" w:cs="Times New Roman"/>
          <w:color w:val="333333"/>
          <w:sz w:val="32"/>
          <w:szCs w:val="32"/>
          <w:shd w:val="clear" w:color="auto" w:fill="FFFFFF"/>
          <w:lang w:eastAsia="zh-CN"/>
        </w:rPr>
        <w:t>收支均为一般公共预算财政拨款，其中一般公共预算财政拨款本年收入</w:t>
      </w:r>
      <w:r>
        <w:rPr>
          <w:rFonts w:hint="eastAsia" w:eastAsia="仿宋_GB2312" w:cs="Times New Roman"/>
          <w:color w:val="333333"/>
          <w:sz w:val="32"/>
          <w:szCs w:val="32"/>
          <w:shd w:val="clear" w:color="auto" w:fill="FFFFFF"/>
          <w:lang w:val="en-US" w:eastAsia="zh-CN"/>
        </w:rPr>
        <w:t>3155.72万元，比2017年度增加360.63万元，增长12.90%。主要是村级组织运转经费增加；本年支出3049.33万元，增加263.71万元，增长9.47%，主要是</w:t>
      </w:r>
      <w:r>
        <w:rPr>
          <w:rFonts w:hint="default" w:ascii="Times New Roman" w:hAnsi="Times New Roman" w:eastAsia="仿宋_GB2312" w:cs="Times New Roman"/>
          <w:sz w:val="32"/>
          <w:szCs w:val="32"/>
          <w:shd w:val="clear" w:color="auto" w:fill="FFFFFF"/>
        </w:rPr>
        <w:t>村级组织运转经费增加</w:t>
      </w:r>
      <w:r>
        <w:rPr>
          <w:rFonts w:hint="eastAsia" w:eastAsia="仿宋_GB2312" w:cs="Times New Roman"/>
          <w:sz w:val="32"/>
          <w:szCs w:val="32"/>
          <w:shd w:val="clear" w:color="auto" w:fill="FFFFFF"/>
          <w:lang w:eastAsia="zh-CN"/>
        </w:rPr>
        <w:t>。</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3155.72</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44.56</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3926.511</w:t>
      </w:r>
      <w:r>
        <w:rPr>
          <w:rFonts w:hint="eastAsia" w:ascii="仿宋_GB2312" w:eastAsia="仿宋_GB2312" w:cs="DengXian-Regular"/>
          <w:sz w:val="32"/>
          <w:szCs w:val="32"/>
        </w:rPr>
        <w:t>万元，决算数小于预算数</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default" w:ascii="Times New Roman" w:hAnsi="Times New Roman" w:eastAsia="仿宋_GB2312" w:cs="Times New Roman"/>
          <w:sz w:val="32"/>
          <w:szCs w:val="32"/>
          <w:shd w:val="clear" w:color="auto" w:fill="FFFFFF"/>
        </w:rPr>
        <w:t>部分村级组织运转经费</w:t>
      </w:r>
      <w:r>
        <w:rPr>
          <w:rFonts w:hint="eastAsia" w:eastAsia="仿宋_GB2312" w:cs="Times New Roman"/>
          <w:sz w:val="32"/>
          <w:szCs w:val="32"/>
          <w:shd w:val="clear" w:color="auto" w:fill="FFFFFF"/>
          <w:lang w:eastAsia="zh-CN"/>
        </w:rPr>
        <w:t>未拨出</w:t>
      </w:r>
      <w:r>
        <w:rPr>
          <w:rFonts w:hint="default" w:ascii="Times New Roman" w:hAnsi="Times New Roman" w:eastAsia="仿宋_GB2312" w:cs="Times New Roman"/>
          <w:sz w:val="32"/>
          <w:szCs w:val="32"/>
          <w:shd w:val="clear" w:color="auto" w:fill="FFFFFF"/>
        </w:rPr>
        <w:t>，从而引起实际</w:t>
      </w:r>
      <w:r>
        <w:rPr>
          <w:rFonts w:hint="eastAsia" w:eastAsia="仿宋_GB2312" w:cs="Times New Roman"/>
          <w:sz w:val="32"/>
          <w:szCs w:val="32"/>
          <w:shd w:val="clear" w:color="auto" w:fill="FFFFFF"/>
          <w:lang w:eastAsia="zh-CN"/>
        </w:rPr>
        <w:t>收入</w:t>
      </w:r>
      <w:r>
        <w:rPr>
          <w:rFonts w:hint="default" w:ascii="Times New Roman" w:hAnsi="Times New Roman" w:eastAsia="仿宋_GB2312" w:cs="Times New Roman"/>
          <w:sz w:val="32"/>
          <w:szCs w:val="32"/>
          <w:shd w:val="clear" w:color="auto" w:fill="FFFFFF"/>
        </w:rPr>
        <w:t>金额未达到预算金额</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3049.33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43.06</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4032.901</w:t>
      </w:r>
      <w:r>
        <w:rPr>
          <w:rFonts w:hint="eastAsia" w:ascii="仿宋_GB2312" w:eastAsia="仿宋_GB2312" w:cs="DengXian-Regular"/>
          <w:sz w:val="32"/>
          <w:szCs w:val="32"/>
        </w:rPr>
        <w:t>万元，决算数小</w:t>
      </w:r>
      <w:r>
        <w:rPr>
          <w:rFonts w:hint="eastAsia" w:ascii="仿宋_GB2312" w:eastAsia="仿宋_GB2312" w:cs="DengXian-Regular"/>
          <w:sz w:val="32"/>
          <w:szCs w:val="32"/>
          <w:lang w:eastAsia="zh-CN"/>
        </w:rPr>
        <w:t>于</w:t>
      </w:r>
      <w:r>
        <w:rPr>
          <w:rFonts w:hint="eastAsia" w:ascii="仿宋_GB2312" w:eastAsia="仿宋_GB2312" w:cs="DengXian-Regular"/>
          <w:sz w:val="32"/>
          <w:szCs w:val="32"/>
        </w:rPr>
        <w:t>预算数主要是</w:t>
      </w:r>
      <w:r>
        <w:rPr>
          <w:rFonts w:hint="default" w:ascii="Times New Roman" w:hAnsi="Times New Roman" w:eastAsia="仿宋_GB2312" w:cs="Times New Roman"/>
          <w:sz w:val="32"/>
          <w:szCs w:val="32"/>
          <w:shd w:val="clear" w:color="auto" w:fill="FFFFFF"/>
        </w:rPr>
        <w:t>部分村级组织运转经费</w:t>
      </w:r>
      <w:r>
        <w:rPr>
          <w:rFonts w:hint="eastAsia" w:eastAsia="仿宋_GB2312" w:cs="Times New Roman"/>
          <w:sz w:val="32"/>
          <w:szCs w:val="32"/>
          <w:shd w:val="clear" w:color="auto" w:fill="FFFFFF"/>
          <w:lang w:eastAsia="zh-CN"/>
        </w:rPr>
        <w:t>未拨出</w:t>
      </w:r>
      <w:r>
        <w:rPr>
          <w:rFonts w:hint="default" w:ascii="Times New Roman" w:hAnsi="Times New Roman" w:eastAsia="仿宋_GB2312" w:cs="Times New Roman"/>
          <w:sz w:val="32"/>
          <w:szCs w:val="32"/>
          <w:shd w:val="clear" w:color="auto" w:fill="FFFFFF"/>
        </w:rPr>
        <w:t>，从而引起实际</w:t>
      </w:r>
      <w:r>
        <w:rPr>
          <w:rFonts w:hint="eastAsia" w:eastAsia="仿宋_GB2312" w:cs="Times New Roman"/>
          <w:sz w:val="32"/>
          <w:szCs w:val="32"/>
          <w:shd w:val="clear" w:color="auto" w:fill="FFFFFF"/>
          <w:lang w:eastAsia="zh-CN"/>
        </w:rPr>
        <w:t>支出</w:t>
      </w:r>
      <w:r>
        <w:rPr>
          <w:rFonts w:hint="default" w:ascii="Times New Roman" w:hAnsi="Times New Roman" w:eastAsia="仿宋_GB2312" w:cs="Times New Roman"/>
          <w:sz w:val="32"/>
          <w:szCs w:val="32"/>
          <w:shd w:val="clear" w:color="auto" w:fill="FFFFFF"/>
        </w:rPr>
        <w:t>金额未达到预算金额</w:t>
      </w:r>
      <w:r>
        <w:rPr>
          <w:rFonts w:hint="eastAsia" w:ascii="仿宋_GB2312" w:eastAsia="仿宋_GB2312"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default" w:ascii="Times New Roman" w:hAnsi="Times New Roman" w:eastAsia="仿宋_GB2312" w:cs="Times New Roman"/>
          <w:sz w:val="32"/>
          <w:szCs w:val="32"/>
          <w:shd w:val="clear" w:color="auto" w:fill="FFFFFF"/>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3049.33</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default" w:ascii="Times New Roman" w:hAnsi="Times New Roman" w:eastAsia="仿宋_GB2312" w:cs="Times New Roman"/>
          <w:color w:val="333333"/>
          <w:sz w:val="32"/>
          <w:szCs w:val="32"/>
          <w:shd w:val="clear" w:color="auto" w:fill="FFFFFF"/>
        </w:rPr>
        <w:t>基本支出292.63万元，</w:t>
      </w:r>
      <w:r>
        <w:rPr>
          <w:rFonts w:hint="eastAsia" w:eastAsia="仿宋_GB2312" w:cs="Times New Roman"/>
          <w:color w:val="333333"/>
          <w:sz w:val="32"/>
          <w:szCs w:val="32"/>
          <w:shd w:val="clear" w:color="auto" w:fill="FFFFFF"/>
          <w:lang w:eastAsia="zh-CN"/>
        </w:rPr>
        <w:t>占</w:t>
      </w:r>
      <w:r>
        <w:rPr>
          <w:rFonts w:hint="eastAsia" w:eastAsia="仿宋_GB2312" w:cs="Times New Roman"/>
          <w:color w:val="333333"/>
          <w:sz w:val="32"/>
          <w:szCs w:val="32"/>
          <w:shd w:val="clear" w:color="auto" w:fill="FFFFFF"/>
          <w:lang w:val="en-US" w:eastAsia="zh-CN"/>
        </w:rPr>
        <w:t>9.60%，</w:t>
      </w:r>
      <w:r>
        <w:rPr>
          <w:rFonts w:hint="default" w:ascii="Times New Roman" w:hAnsi="Times New Roman" w:eastAsia="仿宋_GB2312" w:cs="Times New Roman"/>
          <w:color w:val="333333"/>
          <w:sz w:val="32"/>
          <w:szCs w:val="32"/>
          <w:shd w:val="clear" w:color="auto" w:fill="FFFFFF"/>
        </w:rPr>
        <w:t>包括：人员经费262.15万元和日常公用经费30.48万元；项目支出2756.70</w:t>
      </w:r>
      <w:r>
        <w:rPr>
          <w:rFonts w:hint="default" w:ascii="Times New Roman" w:hAnsi="Times New Roman" w:eastAsia="仿宋_GB2312" w:cs="Times New Roman"/>
          <w:sz w:val="32"/>
          <w:szCs w:val="32"/>
          <w:shd w:val="clear" w:color="auto" w:fill="FFFFFF"/>
        </w:rPr>
        <w:t>万元，</w:t>
      </w:r>
      <w:r>
        <w:rPr>
          <w:rFonts w:hint="eastAsia" w:eastAsia="仿宋_GB2312" w:cs="Times New Roman"/>
          <w:sz w:val="32"/>
          <w:szCs w:val="32"/>
          <w:shd w:val="clear" w:color="auto" w:fill="FFFFFF"/>
          <w:lang w:eastAsia="zh-CN"/>
        </w:rPr>
        <w:t>占</w:t>
      </w:r>
      <w:r>
        <w:rPr>
          <w:rFonts w:hint="eastAsia" w:eastAsia="仿宋_GB2312" w:cs="Times New Roman"/>
          <w:sz w:val="32"/>
          <w:szCs w:val="32"/>
          <w:shd w:val="clear" w:color="auto" w:fill="FFFFFF"/>
          <w:lang w:val="en-US" w:eastAsia="zh-CN"/>
        </w:rPr>
        <w:t>90.40%，</w:t>
      </w:r>
      <w:r>
        <w:rPr>
          <w:rFonts w:hint="default" w:ascii="Times New Roman" w:hAnsi="Times New Roman" w:eastAsia="仿宋_GB2312" w:cs="Times New Roman"/>
          <w:sz w:val="32"/>
          <w:szCs w:val="32"/>
          <w:shd w:val="clear" w:color="auto" w:fill="FFFFFF"/>
        </w:rPr>
        <w:t>主要为：一般行政管理事务支出214.17万元，其他组织事务支出25.43万元，培训支出85.52万元，其他优抚支出40.86万元，对高校毕业生到基层任职补助支出95.32万元，其他农业支出16.4万元，对村民委员会和村党支部的补助2279.01万元。</w:t>
      </w:r>
    </w:p>
    <w:p>
      <w:pPr>
        <w:numPr>
          <w:ilvl w:val="0"/>
          <w:numId w:val="1"/>
        </w:numPr>
        <w:adjustRightInd w:val="0"/>
        <w:snapToGrid w:val="0"/>
        <w:spacing w:after="0" w:line="580" w:lineRule="exact"/>
        <w:ind w:left="420" w:leftChars="200" w:firstLine="0" w:firstLineChars="0"/>
        <w:rPr>
          <w:rFonts w:hint="eastAsia" w:ascii="楷体_GB2312" w:eastAsia="楷体_GB2312" w:cs="DengXian-Bold"/>
          <w:b/>
          <w:bCs/>
          <w:sz w:val="32"/>
          <w:szCs w:val="32"/>
        </w:rPr>
      </w:pPr>
      <w:r>
        <w:rPr>
          <w:rFonts w:hint="eastAsia" w:ascii="楷体_GB2312" w:eastAsia="楷体_GB2312" w:cs="DengXian-Bold"/>
          <w:b/>
          <w:bCs/>
          <w:sz w:val="32"/>
          <w:szCs w:val="32"/>
        </w:rPr>
        <w:t>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292.63</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262.15</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30.48</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11.07</w:t>
      </w:r>
      <w:r>
        <w:rPr>
          <w:rFonts w:eastAsia="仿宋_GB2312"/>
          <w:sz w:val="32"/>
          <w:szCs w:val="32"/>
        </w:rPr>
        <w:t>万元，</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增加</w:t>
      </w:r>
      <w:r>
        <w:rPr>
          <w:rFonts w:hint="eastAsia" w:eastAsia="仿宋_GB2312"/>
          <w:sz w:val="32"/>
          <w:szCs w:val="32"/>
          <w:lang w:val="en-US" w:eastAsia="zh-CN"/>
        </w:rPr>
        <w:t>4.27</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62.28</w:t>
      </w:r>
      <w:r>
        <w:rPr>
          <w:rFonts w:eastAsia="仿宋_GB2312"/>
          <w:sz w:val="32"/>
          <w:szCs w:val="32"/>
        </w:rPr>
        <w:t>%，</w:t>
      </w:r>
      <w:r>
        <w:rPr>
          <w:rFonts w:hint="eastAsia" w:ascii="仿宋_GB2312" w:eastAsia="仿宋_GB2312" w:cs="DengXian-Regular"/>
          <w:sz w:val="32"/>
          <w:szCs w:val="32"/>
        </w:rPr>
        <w:t>主要是</w:t>
      </w:r>
      <w:r>
        <w:rPr>
          <w:rFonts w:hint="default" w:ascii="Times New Roman" w:hAnsi="Times New Roman" w:eastAsia="仿宋_GB2312" w:cs="Times New Roman"/>
          <w:color w:val="333333"/>
          <w:sz w:val="32"/>
          <w:szCs w:val="32"/>
          <w:shd w:val="clear" w:color="auto" w:fill="FFFFFF"/>
        </w:rPr>
        <w:t>全县重点工作大督查工作的开展，组织部负责具体的公务接待工作</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6.21</w:t>
      </w:r>
      <w:r>
        <w:rPr>
          <w:rFonts w:eastAsia="仿宋_GB2312"/>
          <w:sz w:val="32"/>
          <w:szCs w:val="32"/>
        </w:rPr>
        <w:t>万元，增长</w:t>
      </w:r>
      <w:r>
        <w:rPr>
          <w:rFonts w:hint="eastAsia" w:eastAsia="仿宋_GB2312"/>
          <w:sz w:val="32"/>
          <w:szCs w:val="32"/>
          <w:lang w:val="en-US" w:eastAsia="zh-CN"/>
        </w:rPr>
        <w:t>127.78</w:t>
      </w:r>
      <w:r>
        <w:rPr>
          <w:rFonts w:eastAsia="仿宋_GB2312"/>
          <w:sz w:val="32"/>
          <w:szCs w:val="32"/>
        </w:rPr>
        <w:t>%，主要是</w:t>
      </w:r>
      <w:r>
        <w:rPr>
          <w:rFonts w:hint="eastAsia" w:ascii="仿宋_GB2312" w:eastAsia="仿宋_GB2312" w:cs="DengXian-Regular"/>
          <w:sz w:val="32"/>
          <w:szCs w:val="32"/>
        </w:rPr>
        <w:t>主要是</w:t>
      </w:r>
      <w:r>
        <w:rPr>
          <w:rFonts w:hint="default" w:ascii="Times New Roman" w:hAnsi="Times New Roman" w:eastAsia="仿宋_GB2312" w:cs="Times New Roman"/>
          <w:color w:val="333333"/>
          <w:sz w:val="32"/>
          <w:szCs w:val="32"/>
          <w:shd w:val="clear" w:color="auto" w:fill="FFFFFF"/>
        </w:rPr>
        <w:t>全县重点工作大督查工作的开展，组织部负责具体的公务接待工作</w:t>
      </w:r>
      <w:r>
        <w:rPr>
          <w:rFonts w:eastAsia="仿宋_GB2312"/>
          <w:sz w:val="32"/>
          <w:szCs w:val="32"/>
        </w:rPr>
        <w:t>。具体情况如下：</w:t>
      </w:r>
    </w:p>
    <w:p>
      <w:pPr>
        <w:adjustRightInd w:val="0"/>
        <w:snapToGrid w:val="0"/>
        <w:spacing w:line="584" w:lineRule="exact"/>
        <w:ind w:firstLine="643" w:firstLineChars="200"/>
        <w:rPr>
          <w:rFonts w:hint="eastAsia" w:eastAsia="仿宋_GB2312"/>
          <w:sz w:val="32"/>
          <w:szCs w:val="32"/>
          <w:highlight w:val="yellow"/>
          <w:lang w:eastAsia="zh-CN"/>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ascii="仿宋_GB2312" w:eastAsia="仿宋_GB2312" w:cs="DengXian-Regular"/>
          <w:sz w:val="32"/>
          <w:szCs w:val="32"/>
          <w:lang w:eastAsia="zh-CN"/>
        </w:rPr>
        <w:t>与</w:t>
      </w:r>
      <w:r>
        <w:rPr>
          <w:rFonts w:hint="eastAsia" w:ascii="仿宋_GB2312" w:eastAsia="仿宋_GB2312" w:cs="DengXian-Regular"/>
          <w:sz w:val="32"/>
          <w:szCs w:val="32"/>
        </w:rPr>
        <w:t>年初预算</w:t>
      </w:r>
      <w:r>
        <w:rPr>
          <w:rFonts w:hint="eastAsia" w:eastAsia="仿宋_GB2312"/>
          <w:sz w:val="32"/>
          <w:szCs w:val="32"/>
          <w:lang w:eastAsia="zh-CN"/>
        </w:rPr>
        <w:t>持平为</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与</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持平为</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lang w:eastAsia="zh-CN"/>
        </w:rPr>
        <w:t>（二）</w:t>
      </w:r>
      <w:r>
        <w:rPr>
          <w:rFonts w:eastAsia="楷体_GB2312"/>
          <w:b/>
          <w:bCs/>
          <w:sz w:val="32"/>
          <w:szCs w:val="32"/>
        </w:rPr>
        <w:t>公务用车购置及运行维护费支出</w:t>
      </w:r>
      <w:r>
        <w:rPr>
          <w:rFonts w:hint="eastAsia" w:eastAsia="楷体_GB2312"/>
          <w:b/>
          <w:bCs/>
          <w:sz w:val="32"/>
          <w:szCs w:val="32"/>
          <w:lang w:val="en-US" w:eastAsia="zh-CN"/>
        </w:rPr>
        <w:t>4.80</w:t>
      </w:r>
      <w:r>
        <w:rPr>
          <w:rFonts w:eastAsia="楷体_GB2312"/>
          <w:b/>
          <w:bCs/>
          <w:sz w:val="32"/>
          <w:szCs w:val="32"/>
        </w:rPr>
        <w:t>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eastAsia="zh-CN"/>
        </w:rPr>
        <w:t>与</w:t>
      </w:r>
      <w:r>
        <w:rPr>
          <w:rFonts w:hint="eastAsia" w:ascii="仿宋_GB2312" w:eastAsia="仿宋_GB2312" w:cs="DengXian-Regular"/>
          <w:sz w:val="32"/>
          <w:szCs w:val="32"/>
        </w:rPr>
        <w:t>年初预算</w:t>
      </w:r>
      <w:r>
        <w:rPr>
          <w:rFonts w:hint="eastAsia" w:eastAsia="仿宋_GB2312"/>
          <w:sz w:val="32"/>
          <w:szCs w:val="32"/>
          <w:lang w:eastAsia="zh-CN"/>
        </w:rPr>
        <w:t>持平</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0.06</w:t>
      </w:r>
      <w:r>
        <w:rPr>
          <w:rFonts w:eastAsia="仿宋_GB2312"/>
          <w:sz w:val="32"/>
          <w:szCs w:val="32"/>
        </w:rPr>
        <w:t>万元，降低</w:t>
      </w:r>
      <w:r>
        <w:rPr>
          <w:rFonts w:hint="eastAsia" w:eastAsia="仿宋_GB2312"/>
          <w:sz w:val="32"/>
          <w:szCs w:val="32"/>
          <w:lang w:val="en-US" w:eastAsia="zh-CN"/>
        </w:rPr>
        <w:t>1.23</w:t>
      </w:r>
      <w:r>
        <w:rPr>
          <w:rFonts w:eastAsia="仿宋_GB2312"/>
          <w:sz w:val="32"/>
          <w:szCs w:val="32"/>
        </w:rPr>
        <w:t>%，主要是</w:t>
      </w:r>
      <w:r>
        <w:rPr>
          <w:rFonts w:hint="default" w:ascii="Times New Roman" w:hAnsi="Times New Roman" w:eastAsia="仿宋_GB2312" w:cs="Times New Roman"/>
          <w:sz w:val="32"/>
          <w:szCs w:val="32"/>
          <w:shd w:val="clear" w:color="auto" w:fill="FFFFFF"/>
        </w:rPr>
        <w:t>公车改革推行，使得公务用车运行维护费用下降</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ascii="仿宋_GB2312" w:hAnsi="Times New Roman" w:eastAsia="仿宋_GB2312" w:cs="DengXian-Regular"/>
          <w:b/>
          <w:sz w:val="32"/>
          <w:szCs w:val="32"/>
        </w:rPr>
        <w:t>公务用车购置费</w:t>
      </w:r>
      <w:r>
        <w:rPr>
          <w:rFonts w:hint="eastAsia" w:ascii="仿宋_GB2312" w:eastAsia="仿宋_GB2312" w:cs="DengXian-Regular"/>
          <w:b/>
          <w:sz w:val="32"/>
          <w:szCs w:val="32"/>
          <w:lang w:eastAsia="zh-CN"/>
        </w:rPr>
        <w:t>支出</w:t>
      </w:r>
      <w:r>
        <w:rPr>
          <w:rFonts w:hint="eastAsia" w:ascii="仿宋_GB2312" w:eastAsia="仿宋_GB2312" w:cs="DengXian-Regular"/>
          <w:b/>
          <w:sz w:val="32"/>
          <w:szCs w:val="32"/>
          <w:lang w:val="en-US" w:eastAsia="zh-CN"/>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本部门201</w:t>
      </w:r>
      <w:r>
        <w:rPr>
          <w:rFonts w:hint="eastAsia" w:ascii="仿宋_GB2312" w:eastAsia="仿宋_GB2312" w:cs="DengXian-Regular"/>
          <w:sz w:val="32"/>
          <w:szCs w:val="32"/>
          <w:lang w:val="en-US" w:eastAsia="zh-CN"/>
        </w:rPr>
        <w:t>8</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w:t>
      </w:r>
      <w:r>
        <w:rPr>
          <w:rFonts w:hint="eastAsia" w:ascii="仿宋_GB2312" w:hAnsi="Times New Roman" w:eastAsia="仿宋_GB2312" w:cs="DengXian-Regular"/>
          <w:sz w:val="32"/>
          <w:szCs w:val="32"/>
          <w:lang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w:t>
      </w:r>
      <w:r>
        <w:rPr>
          <w:rFonts w:hint="eastAsia" w:ascii="仿宋_GB2312" w:hAnsi="Times New Roman" w:eastAsia="仿宋_GB2312" w:cs="DengXian-Regular"/>
          <w:sz w:val="32"/>
          <w:szCs w:val="32"/>
          <w:highlight w:val="none"/>
        </w:rPr>
        <w:t>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4.80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lang w:eastAsia="zh-CN"/>
        </w:rPr>
        <w:t>与</w:t>
      </w:r>
      <w:r>
        <w:rPr>
          <w:rFonts w:eastAsia="仿宋_GB2312"/>
          <w:sz w:val="32"/>
          <w:szCs w:val="32"/>
        </w:rPr>
        <w:t>年初预算</w:t>
      </w:r>
      <w:r>
        <w:rPr>
          <w:rFonts w:hint="eastAsia" w:eastAsia="仿宋_GB2312"/>
          <w:sz w:val="32"/>
          <w:szCs w:val="32"/>
          <w:lang w:eastAsia="zh-CN"/>
        </w:rPr>
        <w:t>持平</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0.06</w:t>
      </w:r>
      <w:r>
        <w:rPr>
          <w:rFonts w:eastAsia="仿宋_GB2312"/>
          <w:sz w:val="32"/>
          <w:szCs w:val="32"/>
        </w:rPr>
        <w:t>万元，降低</w:t>
      </w:r>
      <w:r>
        <w:rPr>
          <w:rFonts w:hint="eastAsia" w:eastAsia="仿宋_GB2312"/>
          <w:sz w:val="32"/>
          <w:szCs w:val="32"/>
          <w:lang w:val="en-US" w:eastAsia="zh-CN"/>
        </w:rPr>
        <w:t>1.23</w:t>
      </w:r>
      <w:r>
        <w:rPr>
          <w:rFonts w:eastAsia="仿宋_GB2312"/>
          <w:sz w:val="32"/>
          <w:szCs w:val="32"/>
        </w:rPr>
        <w:t>%，主要是</w:t>
      </w:r>
      <w:r>
        <w:rPr>
          <w:rFonts w:hint="default" w:ascii="Times New Roman" w:hAnsi="Times New Roman" w:eastAsia="仿宋_GB2312" w:cs="Times New Roman"/>
          <w:sz w:val="32"/>
          <w:szCs w:val="32"/>
          <w:shd w:val="clear" w:color="auto" w:fill="FFFFFF"/>
        </w:rPr>
        <w:t>公车改革推行，使得公务用车运行维护费用下降</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6.27</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8</w:t>
      </w:r>
      <w:r>
        <w:rPr>
          <w:rFonts w:eastAsia="仿宋_GB2312"/>
          <w:sz w:val="32"/>
          <w:szCs w:val="32"/>
        </w:rPr>
        <w:t>批次、</w:t>
      </w:r>
      <w:r>
        <w:rPr>
          <w:rFonts w:hint="eastAsia" w:eastAsia="仿宋_GB2312"/>
          <w:sz w:val="32"/>
          <w:szCs w:val="32"/>
          <w:lang w:val="en-US" w:eastAsia="zh-CN"/>
        </w:rPr>
        <w:t>260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4.27</w:t>
      </w:r>
      <w:r>
        <w:rPr>
          <w:rFonts w:eastAsia="仿宋_GB2312"/>
          <w:sz w:val="32"/>
          <w:szCs w:val="32"/>
        </w:rPr>
        <w:t>万元，增长</w:t>
      </w:r>
      <w:r>
        <w:rPr>
          <w:rFonts w:hint="eastAsia" w:eastAsia="仿宋_GB2312"/>
          <w:sz w:val="32"/>
          <w:szCs w:val="32"/>
          <w:lang w:val="en-US" w:eastAsia="zh-CN"/>
        </w:rPr>
        <w:t>62.28</w:t>
      </w:r>
      <w:r>
        <w:rPr>
          <w:rFonts w:eastAsia="仿宋_GB2312"/>
          <w:sz w:val="32"/>
          <w:szCs w:val="32"/>
        </w:rPr>
        <w:t>%，</w:t>
      </w:r>
      <w:r>
        <w:rPr>
          <w:rFonts w:hint="eastAsia" w:ascii="仿宋_GB2312" w:eastAsia="仿宋_GB2312" w:cs="DengXian-Regular"/>
          <w:sz w:val="32"/>
          <w:szCs w:val="32"/>
        </w:rPr>
        <w:t>主要是</w:t>
      </w:r>
      <w:r>
        <w:rPr>
          <w:rFonts w:hint="default" w:ascii="Times New Roman" w:hAnsi="Times New Roman" w:eastAsia="仿宋_GB2312" w:cs="Times New Roman"/>
          <w:color w:val="333333"/>
          <w:sz w:val="32"/>
          <w:szCs w:val="32"/>
          <w:shd w:val="clear" w:color="auto" w:fill="FFFFFF"/>
        </w:rPr>
        <w:t>全县重点工作大督查工作的开展，组织部负责具体的公务接待工作</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6.27</w:t>
      </w:r>
      <w:r>
        <w:rPr>
          <w:rFonts w:eastAsia="仿宋_GB2312"/>
          <w:sz w:val="32"/>
          <w:szCs w:val="32"/>
        </w:rPr>
        <w:t>万元，增长</w:t>
      </w:r>
      <w:r>
        <w:rPr>
          <w:rFonts w:hint="eastAsia" w:eastAsia="仿宋_GB2312"/>
          <w:sz w:val="32"/>
          <w:szCs w:val="32"/>
          <w:lang w:val="en-US" w:eastAsia="zh-CN"/>
        </w:rPr>
        <w:t>100</w:t>
      </w:r>
      <w:r>
        <w:rPr>
          <w:rFonts w:eastAsia="仿宋_GB2312"/>
          <w:sz w:val="32"/>
          <w:szCs w:val="32"/>
        </w:rPr>
        <w:t>%，主要是</w:t>
      </w:r>
      <w:r>
        <w:rPr>
          <w:rFonts w:hint="default" w:ascii="Times New Roman" w:hAnsi="Times New Roman" w:eastAsia="仿宋_GB2312" w:cs="Times New Roman"/>
          <w:color w:val="333333"/>
          <w:sz w:val="32"/>
          <w:szCs w:val="32"/>
          <w:shd w:val="clear" w:color="auto" w:fill="FFFFFF"/>
        </w:rPr>
        <w:t>全县重点工作大督查工作的开展，组织部负责具体的公务接待工作</w:t>
      </w:r>
      <w:r>
        <w:rPr>
          <w:rFonts w:eastAsia="仿宋_GB2312"/>
          <w:sz w:val="32"/>
          <w:szCs w:val="32"/>
        </w:rPr>
        <w:t>。</w:t>
      </w:r>
    </w:p>
    <w:p>
      <w:pPr>
        <w:adjustRightInd w:val="0"/>
        <w:snapToGrid w:val="0"/>
        <w:spacing w:after="0" w:line="580" w:lineRule="exact"/>
        <w:ind w:firstLine="640" w:firstLineChars="200"/>
        <w:rPr>
          <w:rFonts w:hint="default" w:ascii="Times New Roman" w:hAnsi="Times New Roman" w:eastAsia="黑体" w:cs="Times New Roman"/>
          <w:sz w:val="32"/>
          <w:szCs w:val="40"/>
        </w:rPr>
      </w:pPr>
      <w:r>
        <w:rPr>
          <w:rFonts w:hint="default" w:ascii="Times New Roman" w:hAnsi="Times New Roman" w:eastAsia="黑体" w:cs="Times New Roman"/>
          <w:sz w:val="32"/>
          <w:szCs w:val="40"/>
        </w:rPr>
        <w:t>六、预算绩效情况说明</w:t>
      </w:r>
    </w:p>
    <w:p>
      <w:pPr>
        <w:autoSpaceDE w:val="0"/>
        <w:autoSpaceDN w:val="0"/>
        <w:adjustRightInd w:val="0"/>
        <w:spacing w:line="520" w:lineRule="exact"/>
        <w:ind w:firstLine="640" w:firstLineChars="200"/>
        <w:jc w:val="left"/>
        <w:rPr>
          <w:rFonts w:hint="default" w:ascii="Times New Roman" w:hAnsi="Times New Roman" w:eastAsia="仿宋_GB2312" w:cs="Times New Roman"/>
          <w:sz w:val="32"/>
          <w:szCs w:val="32"/>
        </w:rPr>
      </w:pPr>
      <w:r>
        <w:rPr>
          <w:rFonts w:hint="eastAsia" w:eastAsia="仿宋_GB2312" w:cs="Times New Roman"/>
          <w:sz w:val="32"/>
          <w:szCs w:val="32"/>
          <w:lang w:eastAsia="zh-CN"/>
        </w:rPr>
        <w:t>（一）</w:t>
      </w:r>
      <w:r>
        <w:rPr>
          <w:rFonts w:hint="default" w:ascii="Times New Roman" w:hAnsi="Times New Roman" w:eastAsia="仿宋_GB2312" w:cs="Times New Roman"/>
          <w:sz w:val="32"/>
          <w:szCs w:val="32"/>
        </w:rPr>
        <w:t>预算绩效管理工作开展情况</w:t>
      </w:r>
    </w:p>
    <w:p>
      <w:pPr>
        <w:autoSpaceDE w:val="0"/>
        <w:autoSpaceDN w:val="0"/>
        <w:adjustRightInd w:val="0"/>
        <w:spacing w:line="520" w:lineRule="exact"/>
        <w:ind w:firstLine="640" w:firstLineChars="200"/>
        <w:jc w:val="left"/>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根据财政预算绩效管理要求，中共文安县委组织部以“部门职责—工作活动”为依据，确定部门预算项目和预算额度，清晰描述预算项目开支范围和内容，确定预算项目的绩效目标、绩效指标和评价标准，为预算绩效控制、绩效分析、绩效评价打下好的基础。</w:t>
      </w:r>
    </w:p>
    <w:p>
      <w:pPr>
        <w:autoSpaceDE w:val="0"/>
        <w:autoSpaceDN w:val="0"/>
        <w:adjustRightInd w:val="0"/>
        <w:spacing w:line="520" w:lineRule="exact"/>
        <w:ind w:firstLine="640" w:firstLineChars="200"/>
        <w:jc w:val="left"/>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项目绩效</w:t>
      </w:r>
      <w:r>
        <w:rPr>
          <w:rFonts w:hint="eastAsia" w:eastAsia="仿宋_GB2312" w:cs="Times New Roman"/>
          <w:sz w:val="32"/>
          <w:szCs w:val="32"/>
          <w:lang w:eastAsia="zh-CN"/>
        </w:rPr>
        <w:t>自评结果</w:t>
      </w:r>
    </w:p>
    <w:p>
      <w:pPr>
        <w:autoSpaceDE w:val="0"/>
        <w:autoSpaceDN w:val="0"/>
        <w:adjustRightInd w:val="0"/>
        <w:spacing w:line="520" w:lineRule="exact"/>
        <w:ind w:firstLine="640" w:firstLineChars="200"/>
        <w:jc w:val="left"/>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按</w:t>
      </w:r>
      <w:bookmarkStart w:id="0" w:name="_Toc477093108"/>
      <w:r>
        <w:rPr>
          <w:rFonts w:hint="default" w:ascii="Times New Roman" w:hAnsi="Times New Roman" w:eastAsia="仿宋_GB2312" w:cs="Times New Roman"/>
          <w:color w:val="333333"/>
          <w:sz w:val="32"/>
          <w:szCs w:val="32"/>
          <w:shd w:val="clear" w:color="auto" w:fill="FFFFFF"/>
        </w:rPr>
        <w:t>预算部门职责-工作活动绩效目标</w:t>
      </w:r>
      <w:bookmarkEnd w:id="0"/>
      <w:r>
        <w:rPr>
          <w:rFonts w:hint="default" w:ascii="Times New Roman" w:hAnsi="Times New Roman" w:eastAsia="仿宋_GB2312" w:cs="Times New Roman"/>
          <w:color w:val="333333"/>
          <w:sz w:val="32"/>
          <w:szCs w:val="32"/>
          <w:shd w:val="clear" w:color="auto" w:fill="FFFFFF"/>
        </w:rPr>
        <w:t>，所涉及预算项目按照年初计划按实际支出情况进行计划申报。中共文安县委组织部项目资金严格实行专款专用；填报用款计划时项目合同、明细等相关附件资料齐全，保证项目预算资金科学合理；确保按照年初预算安排，根据工作实际，保质保量完成预算项目。</w:t>
      </w:r>
    </w:p>
    <w:p>
      <w:pPr>
        <w:autoSpaceDE w:val="0"/>
        <w:autoSpaceDN w:val="0"/>
        <w:adjustRightInd w:val="0"/>
        <w:spacing w:line="520" w:lineRule="exact"/>
        <w:ind w:firstLine="640" w:firstLineChars="200"/>
        <w:jc w:val="left"/>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（三）重点项目绩效评价结果</w:t>
      </w:r>
    </w:p>
    <w:p>
      <w:pPr>
        <w:autoSpaceDE w:val="0"/>
        <w:autoSpaceDN w:val="0"/>
        <w:adjustRightInd w:val="0"/>
        <w:spacing w:line="520" w:lineRule="exact"/>
        <w:ind w:firstLine="640" w:firstLineChars="200"/>
        <w:jc w:val="left"/>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方正仿宋简体" w:cs="Times New Roman"/>
          <w:sz w:val="32"/>
          <w:szCs w:val="32"/>
        </w:rPr>
        <w:t>在干部培训上，不断拓宽培训渠道、丰富培训内容，切实加大干部教育培训力度。围绕区域经济发展与产业转型升级、党性教育、扶贫开发、乡村振兴发展等主题，选派园区、乡镇“一把手”，新提拔任职副科级以上干部，县扶贫领导小组成员单位副职200余人分别赴重庆大学、吉安青年红色培训学院、西安交通大学、</w:t>
      </w:r>
      <w:bookmarkStart w:id="1" w:name="OLE_LINK1"/>
      <w:r>
        <w:rPr>
          <w:rFonts w:hint="default" w:ascii="Times New Roman" w:hAnsi="Times New Roman" w:eastAsia="方正仿宋简体" w:cs="Times New Roman"/>
          <w:sz w:val="32"/>
          <w:szCs w:val="32"/>
        </w:rPr>
        <w:t>延安学习书院</w:t>
      </w:r>
      <w:bookmarkEnd w:id="1"/>
      <w:r>
        <w:rPr>
          <w:rFonts w:hint="default" w:ascii="Times New Roman" w:hAnsi="Times New Roman" w:eastAsia="方正仿宋简体" w:cs="Times New Roman"/>
          <w:sz w:val="32"/>
          <w:szCs w:val="32"/>
        </w:rPr>
        <w:t>进行学习培训，做到工作业务需要和干部自身培训需求相结合、相统一。组织开展党的十九大精神专题培训班2期，邀请中央党校、省委党校等知名教授为1200余名党员干部集中授课，培训专题报道在《廊坊日报》刊发。</w:t>
      </w:r>
      <w:r>
        <w:rPr>
          <w:rFonts w:hint="default" w:ascii="Times New Roman" w:hAnsi="Times New Roman" w:eastAsia="仿宋_GB2312" w:cs="Times New Roman"/>
          <w:color w:val="333333"/>
          <w:sz w:val="32"/>
          <w:szCs w:val="32"/>
          <w:shd w:val="clear" w:color="auto" w:fill="FFFFFF"/>
        </w:rPr>
        <w:t>干部教育培训经费项目达到了工作预期成效，充分发挥了项目资金的效益，绩效自评结果优秀。</w:t>
      </w:r>
    </w:p>
    <w:p>
      <w:pPr>
        <w:pStyle w:val="3"/>
        <w:spacing w:before="0" w:after="0" w:line="580" w:lineRule="exact"/>
        <w:ind w:firstLine="640" w:firstLineChars="200"/>
        <w:rPr>
          <w:rFonts w:hint="default" w:ascii="Times New Roman" w:hAnsi="Times New Roman" w:eastAsia="黑体" w:cs="Times New Roman"/>
          <w:b w:val="0"/>
          <w:bCs w:val="0"/>
        </w:rPr>
      </w:pPr>
      <w:r>
        <w:rPr>
          <w:rFonts w:hint="default" w:ascii="Times New Roman" w:hAnsi="Times New Roman" w:eastAsia="黑体" w:cs="Times New Roman"/>
          <w:b w:val="0"/>
          <w:bCs w:val="0"/>
        </w:rPr>
        <w:t>七、其他重要事项的说明</w:t>
      </w:r>
    </w:p>
    <w:p>
      <w:pPr>
        <w:pStyle w:val="4"/>
        <w:spacing w:before="0" w:after="0" w:line="580" w:lineRule="exact"/>
        <w:ind w:firstLine="643" w:firstLineChars="200"/>
        <w:rPr>
          <w:rFonts w:hint="default" w:ascii="Times New Roman" w:hAnsi="Times New Roman" w:eastAsia="楷体_GB2312" w:cs="Times New Roman"/>
        </w:rPr>
      </w:pPr>
      <w:r>
        <w:rPr>
          <w:rFonts w:hint="default" w:ascii="Times New Roman" w:hAnsi="Times New Roman" w:eastAsia="楷体_GB2312" w:cs="Times New Roman"/>
        </w:rPr>
        <w:t>（一）机关运行经费情况</w:t>
      </w:r>
    </w:p>
    <w:p>
      <w:pPr>
        <w:pStyle w:val="11"/>
        <w:shd w:val="clear" w:color="auto" w:fill="FFFFFF"/>
        <w:spacing w:before="0" w:beforeAutospacing="0" w:after="0" w:afterAutospacing="0" w:line="405" w:lineRule="atLeast"/>
        <w:ind w:firstLine="645"/>
        <w:rPr>
          <w:rFonts w:eastAsia="仿宋_GB2312"/>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30.48</w:t>
      </w:r>
      <w:r>
        <w:rPr>
          <w:rFonts w:hint="eastAsia" w:ascii="仿宋_GB2312" w:eastAsia="仿宋_GB2312" w:cs="DengXian-Regular"/>
          <w:sz w:val="32"/>
          <w:szCs w:val="32"/>
        </w:rPr>
        <w:t>万元，比年初预算数减少</w:t>
      </w:r>
      <w:r>
        <w:rPr>
          <w:rFonts w:eastAsia="仿宋_GB2312"/>
          <w:sz w:val="32"/>
          <w:szCs w:val="32"/>
        </w:rPr>
        <w:t xml:space="preserve"> </w:t>
      </w:r>
      <w:r>
        <w:rPr>
          <w:rFonts w:hint="eastAsia" w:eastAsia="仿宋_GB2312"/>
          <w:sz w:val="32"/>
          <w:szCs w:val="32"/>
          <w:lang w:val="en-US" w:eastAsia="zh-CN"/>
        </w:rPr>
        <w:t>0.66</w:t>
      </w:r>
      <w:r>
        <w:rPr>
          <w:rFonts w:hint="eastAsia" w:ascii="仿宋_GB2312" w:eastAsia="仿宋_GB2312" w:cs="DengXian-Regular"/>
          <w:sz w:val="32"/>
          <w:szCs w:val="32"/>
        </w:rPr>
        <w:t>万元，降低</w:t>
      </w:r>
      <w:r>
        <w:rPr>
          <w:rFonts w:hint="eastAsia" w:eastAsia="仿宋_GB2312"/>
          <w:sz w:val="32"/>
          <w:szCs w:val="32"/>
          <w:lang w:val="en-US" w:eastAsia="zh-CN"/>
        </w:rPr>
        <w:t>2.17</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default" w:ascii="Times New Roman" w:hAnsi="Times New Roman" w:eastAsia="仿宋_GB2312" w:cs="Times New Roman"/>
          <w:sz w:val="32"/>
          <w:szCs w:val="32"/>
          <w:shd w:val="clear" w:color="auto" w:fill="FFFFFF"/>
        </w:rPr>
        <w:t>公车改革推行，使得公务用车运行维护费用下降</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20.06</w:t>
      </w:r>
      <w:r>
        <w:rPr>
          <w:rFonts w:eastAsia="仿宋_GB2312"/>
          <w:sz w:val="32"/>
          <w:szCs w:val="32"/>
        </w:rPr>
        <w:t>万元，增长</w:t>
      </w:r>
      <w:r>
        <w:rPr>
          <w:rFonts w:hint="eastAsia" w:eastAsia="仿宋_GB2312"/>
          <w:sz w:val="32"/>
          <w:szCs w:val="32"/>
          <w:lang w:val="en-US" w:eastAsia="zh-CN"/>
        </w:rPr>
        <w:t>192.51</w:t>
      </w:r>
      <w:r>
        <w:rPr>
          <w:rFonts w:eastAsia="仿宋_GB2312"/>
          <w:sz w:val="32"/>
          <w:szCs w:val="32"/>
        </w:rPr>
        <w:t>%，主要是</w:t>
      </w:r>
      <w:r>
        <w:rPr>
          <w:rFonts w:hint="default" w:ascii="Times New Roman" w:hAnsi="Times New Roman" w:eastAsia="仿宋_GB2312" w:cs="Times New Roman"/>
          <w:color w:val="333333"/>
          <w:kern w:val="2"/>
          <w:sz w:val="32"/>
          <w:szCs w:val="32"/>
          <w:shd w:val="clear" w:color="auto" w:fill="FFFFFF"/>
        </w:rPr>
        <w:t>人员</w:t>
      </w:r>
      <w:r>
        <w:rPr>
          <w:rFonts w:hint="default" w:ascii="Times New Roman" w:hAnsi="Times New Roman" w:eastAsia="仿宋_GB2312" w:cs="Times New Roman"/>
          <w:color w:val="333333"/>
          <w:kern w:val="2"/>
          <w:sz w:val="32"/>
          <w:szCs w:val="32"/>
          <w:shd w:val="clear" w:color="auto" w:fill="FFFFFF"/>
          <w:lang w:eastAsia="zh-CN"/>
        </w:rPr>
        <w:t>变动</w:t>
      </w:r>
      <w:r>
        <w:rPr>
          <w:rFonts w:eastAsia="仿宋_GB2312"/>
          <w:sz w:val="32"/>
          <w:szCs w:val="32"/>
        </w:rPr>
        <w:t>。</w:t>
      </w:r>
    </w:p>
    <w:p>
      <w:pPr>
        <w:pStyle w:val="4"/>
        <w:spacing w:before="0" w:after="0" w:line="580" w:lineRule="exact"/>
        <w:ind w:firstLine="643" w:firstLineChars="200"/>
        <w:rPr>
          <w:rFonts w:hint="default" w:ascii="Times New Roman" w:hAnsi="Times New Roman" w:eastAsia="楷体_GB2312" w:cs="Times New Roman"/>
        </w:rPr>
      </w:pPr>
      <w:r>
        <w:rPr>
          <w:rFonts w:hint="default" w:ascii="Times New Roman" w:hAnsi="Times New Roman" w:eastAsia="楷体_GB2312" w:cs="Times New Roman"/>
        </w:rPr>
        <w:t>（二）政府采购情况</w:t>
      </w:r>
    </w:p>
    <w:p>
      <w:pPr>
        <w:keepNext w:val="0"/>
        <w:keepLines w:val="0"/>
        <w:pageBreakBefore w:val="0"/>
        <w:widowControl w:val="0"/>
        <w:suppressLineNumbers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w:t>
      </w:r>
      <w:r>
        <w:rPr>
          <w:rFonts w:hint="eastAsia" w:ascii="仿宋_GB2312" w:eastAsia="仿宋_GB2312" w:cs="DengXian-Regular"/>
          <w:sz w:val="32"/>
          <w:szCs w:val="32"/>
          <w:lang w:val="en-US" w:eastAsia="zh-CN"/>
        </w:rPr>
        <w:t>8</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hint="default" w:ascii="Times New Roman" w:hAnsi="Times New Roman" w:eastAsia="楷体_GB2312" w:cs="Times New Roman"/>
        </w:rPr>
      </w:pPr>
      <w:r>
        <w:rPr>
          <w:rFonts w:hint="default" w:ascii="Times New Roman" w:hAnsi="Times New Roman" w:eastAsia="楷体_GB2312" w:cs="Times New Roman"/>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通过公开拍卖处置公车一辆</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p>
    <w:p>
      <w:pPr>
        <w:pStyle w:val="4"/>
        <w:numPr>
          <w:ilvl w:val="0"/>
          <w:numId w:val="1"/>
        </w:numPr>
        <w:spacing w:before="0" w:after="0" w:line="580" w:lineRule="exact"/>
        <w:ind w:left="420" w:leftChars="200" w:firstLine="0" w:firstLineChars="0"/>
        <w:rPr>
          <w:rFonts w:hint="default"/>
        </w:rPr>
      </w:pPr>
      <w:r>
        <w:rPr>
          <w:rFonts w:hint="default" w:ascii="Times New Roman" w:hAnsi="Times New Roman" w:eastAsia="楷体_GB2312" w:cs="Times New Roman"/>
        </w:rPr>
        <w:t>其他需要说明的情况</w:t>
      </w:r>
    </w:p>
    <w:p>
      <w:pPr>
        <w:adjustRightInd w:val="0"/>
        <w:snapToGrid w:val="0"/>
        <w:spacing w:after="0" w:line="580" w:lineRule="exact"/>
        <w:ind w:firstLine="640" w:firstLineChars="200"/>
        <w:rPr>
          <w:rFonts w:hint="default" w:ascii="Times New Roman" w:hAnsi="Times New Roman" w:eastAsia="仿宋_GB2312" w:cs="Times New Roman"/>
          <w:sz w:val="32"/>
          <w:szCs w:val="32"/>
        </w:rPr>
      </w:pPr>
      <w:r>
        <w:rPr>
          <w:rFonts w:hint="eastAsia" w:ascii="仿宋_GB2312" w:eastAsia="仿宋_GB2312" w:cs="DengXian-Regular"/>
          <w:sz w:val="32"/>
          <w:szCs w:val="32"/>
        </w:rPr>
        <w:t>1、</w:t>
      </w:r>
      <w:r>
        <w:rPr>
          <w:rFonts w:hint="default" w:ascii="Times New Roman" w:hAnsi="Times New Roman" w:eastAsia="仿宋_GB2312" w:cs="Times New Roman"/>
          <w:sz w:val="32"/>
          <w:szCs w:val="32"/>
        </w:rPr>
        <w:t>本部门2018年度政府性基金预算财政拨款收入支出决算、国有资本经营预算财政拨款支出情况无收支及结转结余情况，故以空表列示。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int="default" w:ascii="Times New Roman" w:hAnsi="Times New Roman" w:cs="Times New Roman" w:eastAsiaTheme="minorEastAsia"/>
          <w:color w:val="000000" w:themeColor="text1"/>
          <w:sz w:val="96"/>
          <w:szCs w:val="96"/>
          <w14:textFill>
            <w14:solidFill>
              <w14:schemeClr w14:val="tx1"/>
            </w14:solidFill>
          </w14:textFill>
        </w:rPr>
      </w:pPr>
    </w:p>
    <w:p>
      <w:pPr>
        <w:widowControl/>
        <w:spacing w:line="1200" w:lineRule="exact"/>
        <w:jc w:val="center"/>
        <w:rPr>
          <w:rFonts w:hint="default" w:ascii="Times New Roman" w:hAnsi="Times New Roman" w:cs="Times New Roman" w:eastAsiaTheme="minorEastAsia"/>
          <w:color w:val="000000" w:themeColor="text1"/>
          <w:sz w:val="96"/>
          <w:szCs w:val="96"/>
          <w14:textFill>
            <w14:solidFill>
              <w14:schemeClr w14:val="tx1"/>
            </w14:solidFill>
          </w14:textFill>
        </w:rPr>
      </w:pPr>
    </w:p>
    <w:p>
      <w:pPr>
        <w:widowControl/>
        <w:spacing w:line="1200" w:lineRule="exact"/>
        <w:jc w:val="center"/>
        <w:rPr>
          <w:rFonts w:hint="default" w:ascii="Times New Roman" w:hAnsi="Times New Roman" w:cs="Times New Roman" w:eastAsiaTheme="minorEastAsia"/>
          <w:color w:val="000000" w:themeColor="text1"/>
          <w:sz w:val="96"/>
          <w:szCs w:val="96"/>
          <w14:textFill>
            <w14:solidFill>
              <w14:schemeClr w14:val="tx1"/>
            </w14:solidFill>
          </w14:textFill>
        </w:rPr>
      </w:pPr>
    </w:p>
    <w:p>
      <w:pPr>
        <w:widowControl/>
        <w:spacing w:line="1200" w:lineRule="exact"/>
        <w:jc w:val="center"/>
        <w:rPr>
          <w:rFonts w:hint="default" w:ascii="Times New Roman" w:hAnsi="Times New Roman" w:cs="Times New Roman" w:eastAsiaTheme="minorEastAsia"/>
          <w:color w:val="000000" w:themeColor="text1"/>
          <w:sz w:val="96"/>
          <w:szCs w:val="96"/>
          <w14:textFill>
            <w14:solidFill>
              <w14:schemeClr w14:val="tx1"/>
            </w14:solidFill>
          </w14:textFill>
        </w:rPr>
      </w:pPr>
      <w:r>
        <w:rPr>
          <w:rFonts w:hint="default" w:ascii="Times New Roman" w:hAnsi="Times New Roman" w:cs="Times New Roman" w:eastAsiaTheme="minorEastAsia"/>
          <w:color w:val="000000" w:themeColor="text1"/>
          <w:sz w:val="96"/>
          <w:szCs w:val="96"/>
          <w14:textFill>
            <w14:solidFill>
              <w14:schemeClr w14:val="tx1"/>
            </w14:solidFill>
          </w14:textFill>
        </w:rPr>
        <w:t>第</w:t>
      </w:r>
      <w:r>
        <w:rPr>
          <w:rFonts w:hint="eastAsia" w:cs="Times New Roman" w:eastAsiaTheme="minorEastAsia"/>
          <w:color w:val="000000" w:themeColor="text1"/>
          <w:sz w:val="96"/>
          <w:szCs w:val="96"/>
          <w:lang w:eastAsia="zh-CN"/>
          <w14:textFill>
            <w14:solidFill>
              <w14:schemeClr w14:val="tx1"/>
            </w14:solidFill>
          </w14:textFill>
        </w:rPr>
        <w:t>三</w:t>
      </w:r>
      <w:r>
        <w:rPr>
          <w:rFonts w:hint="default" w:ascii="Times New Roman" w:hAnsi="Times New Roman" w:cs="Times New Roman" w:eastAsiaTheme="minorEastAsia"/>
          <w:color w:val="000000" w:themeColor="text1"/>
          <w:sz w:val="96"/>
          <w:szCs w:val="96"/>
          <w14:textFill>
            <w14:solidFill>
              <w14:schemeClr w14:val="tx1"/>
            </w14:solidFill>
          </w14:textFill>
        </w:rPr>
        <w:t>部分</w:t>
      </w:r>
    </w:p>
    <w:p>
      <w:pPr>
        <w:widowControl/>
        <w:spacing w:line="1200" w:lineRule="exact"/>
        <w:jc w:val="center"/>
        <w:rPr>
          <w:rFonts w:hint="default" w:ascii="Times New Roman" w:hAnsi="Times New Roman" w:cs="Times New Roman"/>
          <w:color w:val="000000" w:themeColor="text1"/>
          <w:sz w:val="96"/>
          <w:szCs w:val="96"/>
          <w14:textFill>
            <w14:solidFill>
              <w14:schemeClr w14:val="tx1"/>
            </w14:solidFill>
          </w14:textFill>
        </w:rPr>
      </w:pPr>
      <w:r>
        <w:rPr>
          <w:rFonts w:hint="default" w:ascii="Times New Roman" w:hAnsi="Times New Roman" w:cs="Times New Roman" w:eastAsiaTheme="minorEastAsia"/>
          <w:color w:val="000000" w:themeColor="text1"/>
          <w:sz w:val="96"/>
          <w:szCs w:val="96"/>
          <w14:textFill>
            <w14:solidFill>
              <w14:schemeClr w14:val="tx1"/>
            </w14:solidFill>
          </w14:textFill>
        </w:rPr>
        <w:t>名词解释</w:t>
      </w:r>
    </w:p>
    <w:p>
      <w:pPr>
        <w:rPr>
          <w:rFonts w:hint="default" w:ascii="Times New Roman" w:hAnsi="Times New Roman" w:cs="Times New Roman"/>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rPr>
          <w:rFonts w:hint="default" w:ascii="Times New Roman" w:hAnsi="Times New Roman" w:eastAsia="仿宋_GB2312" w:cs="Times New Roman"/>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09E05A-1C79-4E8E-A024-2DDFDD6FDC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B98957A-FE80-4376-BC5D-ED31AB236BAA}"/>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embedRegular r:id="rId3" w:fontKey="{E87BC0C3-EA2D-4959-9668-E0CAEE622418}"/>
  </w:font>
  <w:font w:name="仿宋_GB2312">
    <w:panose1 w:val="02010609030101010101"/>
    <w:charset w:val="86"/>
    <w:family w:val="modern"/>
    <w:pitch w:val="default"/>
    <w:sig w:usb0="00000001" w:usb1="080E0000" w:usb2="00000000" w:usb3="00000000" w:csb0="00040000" w:csb1="00000000"/>
    <w:embedRegular r:id="rId4" w:fontKey="{59F55C57-CB1C-4FDC-A1CB-62EFECCEB0E8}"/>
  </w:font>
  <w:font w:name="仿宋">
    <w:panose1 w:val="02010609060101010101"/>
    <w:charset w:val="86"/>
    <w:family w:val="modern"/>
    <w:pitch w:val="default"/>
    <w:sig w:usb0="800002BF" w:usb1="38CF7CFA" w:usb2="00000016" w:usb3="00000000" w:csb0="00040001" w:csb1="00000000"/>
    <w:embedRegular r:id="rId5" w:fontKey="{C25C9583-C4DC-4DEC-9857-6ED916627009}"/>
  </w:font>
  <w:font w:name="DengXian-Regular">
    <w:altName w:val="宋体"/>
    <w:panose1 w:val="00000000000000000000"/>
    <w:charset w:val="86"/>
    <w:family w:val="auto"/>
    <w:pitch w:val="default"/>
    <w:sig w:usb0="00000000" w:usb1="00000000" w:usb2="00000010" w:usb3="00000000" w:csb0="00040001" w:csb1="00000000"/>
    <w:embedRegular r:id="rId6" w:fontKey="{2551261F-A816-4692-87C1-4EA862F753B6}"/>
  </w:font>
  <w:font w:name="楷体_GB2312">
    <w:panose1 w:val="02010609030101010101"/>
    <w:charset w:val="86"/>
    <w:family w:val="modern"/>
    <w:pitch w:val="default"/>
    <w:sig w:usb0="00000001" w:usb1="080E0000" w:usb2="00000000" w:usb3="00000000" w:csb0="00040000" w:csb1="00000000"/>
    <w:embedRegular r:id="rId7" w:fontKey="{20E1FF96-CDC0-4019-B034-760339AD9FC7}"/>
  </w:font>
  <w:font w:name="DengXian-Bold">
    <w:altName w:val="宋体"/>
    <w:panose1 w:val="00000000000000000000"/>
    <w:charset w:val="86"/>
    <w:family w:val="auto"/>
    <w:pitch w:val="default"/>
    <w:sig w:usb0="00000000" w:usb1="00000000" w:usb2="00000010" w:usb3="00000000" w:csb0="00040001" w:csb1="00000000"/>
    <w:embedRegular r:id="rId8" w:fontKey="{57FF8032-0996-40D9-9026-D942EBEE7088}"/>
  </w:font>
  <w:font w:name="方正仿宋简体">
    <w:panose1 w:val="03000509000000000000"/>
    <w:charset w:val="86"/>
    <w:family w:val="script"/>
    <w:pitch w:val="default"/>
    <w:sig w:usb0="00000001" w:usb1="080E0000" w:usb2="00000000" w:usb3="00000000" w:csb0="00040000" w:csb1="00000000"/>
    <w:embedRegular r:id="rId9" w:fontKey="{1322D39D-9935-4F45-AE50-5021E537C019}"/>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embedRegular r:id="rId10" w:fontKey="{53243EC9-6ADE-40B6-8192-CD8410E64BF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D16"/>
    <w:rsid w:val="00020FAF"/>
    <w:rsid w:val="00022474"/>
    <w:rsid w:val="00024E7F"/>
    <w:rsid w:val="000475A0"/>
    <w:rsid w:val="00067693"/>
    <w:rsid w:val="000838C3"/>
    <w:rsid w:val="000B2446"/>
    <w:rsid w:val="000D693E"/>
    <w:rsid w:val="000D7C65"/>
    <w:rsid w:val="000E2F81"/>
    <w:rsid w:val="000E4D16"/>
    <w:rsid w:val="00101F8D"/>
    <w:rsid w:val="001022AC"/>
    <w:rsid w:val="0011080C"/>
    <w:rsid w:val="001153B1"/>
    <w:rsid w:val="00117946"/>
    <w:rsid w:val="00117E2C"/>
    <w:rsid w:val="00141D26"/>
    <w:rsid w:val="001454FA"/>
    <w:rsid w:val="00145BE0"/>
    <w:rsid w:val="00146C47"/>
    <w:rsid w:val="00152FB8"/>
    <w:rsid w:val="00176658"/>
    <w:rsid w:val="0018239E"/>
    <w:rsid w:val="001B3410"/>
    <w:rsid w:val="001B7503"/>
    <w:rsid w:val="001C030D"/>
    <w:rsid w:val="001C4A84"/>
    <w:rsid w:val="001E127B"/>
    <w:rsid w:val="001E5902"/>
    <w:rsid w:val="00233705"/>
    <w:rsid w:val="00246D99"/>
    <w:rsid w:val="00257266"/>
    <w:rsid w:val="00262306"/>
    <w:rsid w:val="00275CA2"/>
    <w:rsid w:val="002A65A5"/>
    <w:rsid w:val="002C04C4"/>
    <w:rsid w:val="002D08B0"/>
    <w:rsid w:val="002D1AE3"/>
    <w:rsid w:val="002F2ECE"/>
    <w:rsid w:val="0033537B"/>
    <w:rsid w:val="00341C8F"/>
    <w:rsid w:val="0035463A"/>
    <w:rsid w:val="00367007"/>
    <w:rsid w:val="00391D9D"/>
    <w:rsid w:val="003B19EC"/>
    <w:rsid w:val="003B6C51"/>
    <w:rsid w:val="003C1413"/>
    <w:rsid w:val="003C549F"/>
    <w:rsid w:val="003D5A16"/>
    <w:rsid w:val="003E7DB3"/>
    <w:rsid w:val="003F30C5"/>
    <w:rsid w:val="00431175"/>
    <w:rsid w:val="004374A3"/>
    <w:rsid w:val="00452005"/>
    <w:rsid w:val="00477843"/>
    <w:rsid w:val="00493686"/>
    <w:rsid w:val="00495878"/>
    <w:rsid w:val="004B6E37"/>
    <w:rsid w:val="004C32BA"/>
    <w:rsid w:val="004C68EF"/>
    <w:rsid w:val="00575922"/>
    <w:rsid w:val="005A3C0D"/>
    <w:rsid w:val="005A6C90"/>
    <w:rsid w:val="005A726A"/>
    <w:rsid w:val="005B37E6"/>
    <w:rsid w:val="005B42BD"/>
    <w:rsid w:val="005E0248"/>
    <w:rsid w:val="005E2886"/>
    <w:rsid w:val="005E3FB0"/>
    <w:rsid w:val="005F33A7"/>
    <w:rsid w:val="005F4B66"/>
    <w:rsid w:val="005F5208"/>
    <w:rsid w:val="00607793"/>
    <w:rsid w:val="00615C31"/>
    <w:rsid w:val="00641318"/>
    <w:rsid w:val="0064405D"/>
    <w:rsid w:val="00667E2E"/>
    <w:rsid w:val="006856D8"/>
    <w:rsid w:val="00695557"/>
    <w:rsid w:val="006A1076"/>
    <w:rsid w:val="006D4EA7"/>
    <w:rsid w:val="006F16B7"/>
    <w:rsid w:val="0070012A"/>
    <w:rsid w:val="0070664B"/>
    <w:rsid w:val="007071B8"/>
    <w:rsid w:val="007155C2"/>
    <w:rsid w:val="007414DE"/>
    <w:rsid w:val="00751572"/>
    <w:rsid w:val="00760C0C"/>
    <w:rsid w:val="007905A9"/>
    <w:rsid w:val="007C35E6"/>
    <w:rsid w:val="007C3898"/>
    <w:rsid w:val="007E072B"/>
    <w:rsid w:val="007E5500"/>
    <w:rsid w:val="007F055B"/>
    <w:rsid w:val="00811C2F"/>
    <w:rsid w:val="00833D46"/>
    <w:rsid w:val="00836215"/>
    <w:rsid w:val="00840A97"/>
    <w:rsid w:val="0086458F"/>
    <w:rsid w:val="00872B02"/>
    <w:rsid w:val="00873292"/>
    <w:rsid w:val="0088555A"/>
    <w:rsid w:val="008A112D"/>
    <w:rsid w:val="008A640A"/>
    <w:rsid w:val="008A6DCD"/>
    <w:rsid w:val="008C0149"/>
    <w:rsid w:val="008D2B26"/>
    <w:rsid w:val="008D5DED"/>
    <w:rsid w:val="008E25CA"/>
    <w:rsid w:val="008F34FC"/>
    <w:rsid w:val="00944CD7"/>
    <w:rsid w:val="00961190"/>
    <w:rsid w:val="009831B2"/>
    <w:rsid w:val="009A1ABE"/>
    <w:rsid w:val="009E21A4"/>
    <w:rsid w:val="009F22C6"/>
    <w:rsid w:val="00A07E50"/>
    <w:rsid w:val="00A11EF4"/>
    <w:rsid w:val="00A12C15"/>
    <w:rsid w:val="00A15397"/>
    <w:rsid w:val="00A34DCE"/>
    <w:rsid w:val="00A35CE0"/>
    <w:rsid w:val="00A40519"/>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BC30BD"/>
    <w:rsid w:val="00C12630"/>
    <w:rsid w:val="00C130E7"/>
    <w:rsid w:val="00C34562"/>
    <w:rsid w:val="00C3774E"/>
    <w:rsid w:val="00C57456"/>
    <w:rsid w:val="00C65387"/>
    <w:rsid w:val="00C7732D"/>
    <w:rsid w:val="00C87FAB"/>
    <w:rsid w:val="00C91FF7"/>
    <w:rsid w:val="00C92D15"/>
    <w:rsid w:val="00C94E53"/>
    <w:rsid w:val="00CA4BDB"/>
    <w:rsid w:val="00CE3FC3"/>
    <w:rsid w:val="00CF638C"/>
    <w:rsid w:val="00D0048E"/>
    <w:rsid w:val="00D23E7A"/>
    <w:rsid w:val="00D26E68"/>
    <w:rsid w:val="00D41AFA"/>
    <w:rsid w:val="00D56D8F"/>
    <w:rsid w:val="00D61063"/>
    <w:rsid w:val="00D8534A"/>
    <w:rsid w:val="00D87A82"/>
    <w:rsid w:val="00D87C4F"/>
    <w:rsid w:val="00DA0C6D"/>
    <w:rsid w:val="00DB35AF"/>
    <w:rsid w:val="00DC1F7C"/>
    <w:rsid w:val="00DD72D7"/>
    <w:rsid w:val="00DE2FBB"/>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D466A"/>
    <w:rsid w:val="00EE64CD"/>
    <w:rsid w:val="00EF38C6"/>
    <w:rsid w:val="00F06EE5"/>
    <w:rsid w:val="00F242CC"/>
    <w:rsid w:val="00F32820"/>
    <w:rsid w:val="00F6569F"/>
    <w:rsid w:val="00F679C7"/>
    <w:rsid w:val="00F73B78"/>
    <w:rsid w:val="00F7711A"/>
    <w:rsid w:val="00F80C72"/>
    <w:rsid w:val="00FA0D58"/>
    <w:rsid w:val="00FA1580"/>
    <w:rsid w:val="00FA56F4"/>
    <w:rsid w:val="00FB4EDA"/>
    <w:rsid w:val="00FC664B"/>
    <w:rsid w:val="00FD0280"/>
    <w:rsid w:val="00FD3BD5"/>
    <w:rsid w:val="00FE3DC8"/>
    <w:rsid w:val="00FE6ED2"/>
    <w:rsid w:val="04073F84"/>
    <w:rsid w:val="08EF256C"/>
    <w:rsid w:val="0B60750A"/>
    <w:rsid w:val="0D4B63A9"/>
    <w:rsid w:val="10686488"/>
    <w:rsid w:val="10DF728A"/>
    <w:rsid w:val="1264200E"/>
    <w:rsid w:val="137439A8"/>
    <w:rsid w:val="141C5B77"/>
    <w:rsid w:val="17F4003B"/>
    <w:rsid w:val="18D8339D"/>
    <w:rsid w:val="1A21388F"/>
    <w:rsid w:val="1A570D2F"/>
    <w:rsid w:val="28FB0B8D"/>
    <w:rsid w:val="2D2B7942"/>
    <w:rsid w:val="2D46481D"/>
    <w:rsid w:val="2E733B28"/>
    <w:rsid w:val="31852B5A"/>
    <w:rsid w:val="32D01238"/>
    <w:rsid w:val="336640D4"/>
    <w:rsid w:val="33C17E67"/>
    <w:rsid w:val="342F36FF"/>
    <w:rsid w:val="3A5F660B"/>
    <w:rsid w:val="3DFC59A8"/>
    <w:rsid w:val="3ECF245E"/>
    <w:rsid w:val="3FB96314"/>
    <w:rsid w:val="504D29CC"/>
    <w:rsid w:val="53A44FAF"/>
    <w:rsid w:val="588F3FF3"/>
    <w:rsid w:val="594329EC"/>
    <w:rsid w:val="5A570CEE"/>
    <w:rsid w:val="5BEE1540"/>
    <w:rsid w:val="5DE61A5D"/>
    <w:rsid w:val="5EA51BA5"/>
    <w:rsid w:val="63C04243"/>
    <w:rsid w:val="649C01C7"/>
    <w:rsid w:val="658A714C"/>
    <w:rsid w:val="699A3F60"/>
    <w:rsid w:val="72902E62"/>
    <w:rsid w:val="73C61104"/>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 w:type="paragraph" w:customStyle="1" w:styleId="34">
    <w:name w:val="p"/>
    <w:basedOn w:val="1"/>
    <w:qFormat/>
    <w:uiPriority w:val="0"/>
    <w:pPr>
      <w:widowControl/>
      <w:spacing w:after="0" w:line="240" w:lineRule="auto"/>
      <w:jc w:val="left"/>
    </w:pPr>
    <w:rPr>
      <w:rFonts w:ascii="宋体" w:hAnsi="宋体" w:cs="宋体"/>
      <w:kern w:val="0"/>
      <w:sz w:val="24"/>
    </w:rPr>
  </w:style>
  <w:style w:type="paragraph" w:customStyle="1" w:styleId="35">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F4B7120B-CE37-4088-BE9A-D2F0DB1E98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1613</Words>
  <Characters>9200</Characters>
  <Lines>76</Lines>
  <Paragraphs>21</Paragraphs>
  <TotalTime>7</TotalTime>
  <ScaleCrop>false</ScaleCrop>
  <LinksUpToDate>false</LinksUpToDate>
  <CharactersWithSpaces>10792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2019-10-10T09:29:00Z</dcterms:created>
  <dc:creator>User</dc:creator>
  <cp:lastModifiedBy>Administrator</cp:lastModifiedBy>
  <cp:lastPrinted>2021-05-25T09:25:00Z</cp:lastPrinted>
  <dcterms:modified xsi:type="dcterms:W3CDTF">2023-07-25T07:55:00Z</dcterms:modified>
  <dc:subject>石家庄市xxx部门</dc:subject>
  <dc:title>2017年度部门决算</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